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659347" w14:textId="1E569907" w:rsidR="00D93193" w:rsidRPr="00DF3F0C" w:rsidRDefault="00D93193" w:rsidP="00DF3F0C">
      <w:pPr>
        <w:jc w:val="center"/>
        <w:rPr>
          <w:b/>
          <w:bCs/>
          <w:lang w:val="en-US"/>
        </w:rPr>
      </w:pPr>
      <w:r w:rsidRPr="00DF3F0C">
        <w:rPr>
          <w:b/>
          <w:bCs/>
          <w:lang w:val="en-US"/>
        </w:rPr>
        <w:t>Mandatory information on principal adverse impacts on the climate and other environment-related adverse impacts of the consensus mechanism</w:t>
      </w:r>
    </w:p>
    <w:tbl>
      <w:tblPr>
        <w:tblStyle w:val="Tabellenraster"/>
        <w:tblW w:w="0" w:type="auto"/>
        <w:tblLook w:val="04A0" w:firstRow="1" w:lastRow="0" w:firstColumn="1" w:lastColumn="0" w:noHBand="0" w:noVBand="1"/>
      </w:tblPr>
      <w:tblGrid>
        <w:gridCol w:w="704"/>
        <w:gridCol w:w="3260"/>
        <w:gridCol w:w="5098"/>
      </w:tblGrid>
      <w:tr w:rsidR="00422EDB" w:rsidRPr="000C33C2" w14:paraId="442A3A39" w14:textId="77777777" w:rsidTr="000C33C2">
        <w:tc>
          <w:tcPr>
            <w:tcW w:w="704" w:type="dxa"/>
            <w:shd w:val="clear" w:color="auto" w:fill="595959" w:themeFill="text1" w:themeFillTint="A6"/>
          </w:tcPr>
          <w:p w14:paraId="57B5F487" w14:textId="3CB08EAB"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N</w:t>
            </w:r>
          </w:p>
        </w:tc>
        <w:tc>
          <w:tcPr>
            <w:tcW w:w="3260" w:type="dxa"/>
            <w:shd w:val="clear" w:color="auto" w:fill="595959" w:themeFill="text1" w:themeFillTint="A6"/>
          </w:tcPr>
          <w:p w14:paraId="7A72B4D5" w14:textId="3041187C"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Field</w:t>
            </w:r>
          </w:p>
        </w:tc>
        <w:tc>
          <w:tcPr>
            <w:tcW w:w="5098" w:type="dxa"/>
            <w:shd w:val="clear" w:color="auto" w:fill="595959" w:themeFill="text1" w:themeFillTint="A6"/>
          </w:tcPr>
          <w:p w14:paraId="1D904EC2" w14:textId="7E8B4362" w:rsidR="00422EDB" w:rsidRPr="000C33C2" w:rsidRDefault="00422EDB">
            <w:pPr>
              <w:rPr>
                <w:b/>
                <w:bCs/>
                <w:color w:val="FFFFFF" w:themeColor="background1"/>
                <w:sz w:val="20"/>
                <w:szCs w:val="20"/>
                <w:lang w:val="en-US"/>
              </w:rPr>
            </w:pPr>
            <w:r w:rsidRPr="000C33C2">
              <w:rPr>
                <w:b/>
                <w:bCs/>
                <w:color w:val="FFFFFF" w:themeColor="background1"/>
                <w:sz w:val="20"/>
                <w:szCs w:val="20"/>
                <w:lang w:val="en-US"/>
              </w:rPr>
              <w:t>Content</w:t>
            </w:r>
          </w:p>
        </w:tc>
      </w:tr>
      <w:tr w:rsidR="00422EDB" w:rsidRPr="000C33C2" w14:paraId="1886F5F1" w14:textId="77777777" w:rsidTr="00541804">
        <w:tc>
          <w:tcPr>
            <w:tcW w:w="9062" w:type="dxa"/>
            <w:gridSpan w:val="3"/>
          </w:tcPr>
          <w:p w14:paraId="6A8F5A45" w14:textId="49CC8C25" w:rsidR="00422EDB" w:rsidRPr="000C33C2" w:rsidRDefault="00422EDB" w:rsidP="00422EDB">
            <w:pPr>
              <w:jc w:val="center"/>
              <w:rPr>
                <w:b/>
                <w:bCs/>
                <w:sz w:val="20"/>
                <w:szCs w:val="20"/>
                <w:lang w:val="en-US"/>
              </w:rPr>
            </w:pPr>
            <w:r w:rsidRPr="000C33C2">
              <w:rPr>
                <w:b/>
                <w:bCs/>
                <w:sz w:val="20"/>
                <w:szCs w:val="20"/>
                <w:lang w:val="en-US"/>
              </w:rPr>
              <w:t>General information</w:t>
            </w:r>
          </w:p>
        </w:tc>
      </w:tr>
      <w:tr w:rsidR="00422EDB" w:rsidRPr="000C33C2" w14:paraId="06482DFB" w14:textId="77777777" w:rsidTr="000C33C2">
        <w:tc>
          <w:tcPr>
            <w:tcW w:w="704" w:type="dxa"/>
          </w:tcPr>
          <w:p w14:paraId="23087D11" w14:textId="2B42A75F" w:rsidR="00422EDB" w:rsidRPr="000C33C2" w:rsidRDefault="00422EDB">
            <w:pPr>
              <w:rPr>
                <w:sz w:val="20"/>
                <w:szCs w:val="20"/>
                <w:lang w:val="en-US"/>
              </w:rPr>
            </w:pPr>
            <w:r w:rsidRPr="000C33C2">
              <w:rPr>
                <w:sz w:val="20"/>
                <w:szCs w:val="20"/>
                <w:lang w:val="en-US"/>
              </w:rPr>
              <w:t>S.1</w:t>
            </w:r>
          </w:p>
        </w:tc>
        <w:tc>
          <w:tcPr>
            <w:tcW w:w="3260" w:type="dxa"/>
          </w:tcPr>
          <w:p w14:paraId="17B2BF48" w14:textId="789AF060" w:rsidR="00422EDB" w:rsidRPr="000C33C2" w:rsidRDefault="00422EDB">
            <w:pPr>
              <w:rPr>
                <w:sz w:val="20"/>
                <w:szCs w:val="20"/>
                <w:lang w:val="en-US"/>
              </w:rPr>
            </w:pPr>
            <w:r w:rsidRPr="000C33C2">
              <w:rPr>
                <w:sz w:val="20"/>
                <w:szCs w:val="20"/>
                <w:lang w:val="en-US"/>
              </w:rPr>
              <w:t>Name</w:t>
            </w:r>
          </w:p>
        </w:tc>
        <w:tc>
          <w:tcPr>
            <w:tcW w:w="5098" w:type="dxa"/>
          </w:tcPr>
          <w:p w14:paraId="3F60F949" w14:textId="0FC5C7C2" w:rsidR="00422EDB" w:rsidRPr="000C33C2" w:rsidRDefault="00821F77">
            <w:pPr>
              <w:rPr>
                <w:sz w:val="20"/>
                <w:szCs w:val="20"/>
                <w:highlight w:val="yellow"/>
                <w:lang w:val="en-US"/>
              </w:rPr>
            </w:pPr>
            <w:r w:rsidRPr="00821F77">
              <w:rPr>
                <w:sz w:val="20"/>
                <w:szCs w:val="20"/>
                <w:lang w:val="en-US"/>
              </w:rPr>
              <w:t xml:space="preserve">Huddlestock GmbH</w:t>
            </w:r>
          </w:p>
        </w:tc>
      </w:tr>
      <w:tr w:rsidR="00422EDB" w:rsidRPr="000C33C2" w14:paraId="0A8ADF34" w14:textId="77777777" w:rsidTr="000C33C2">
        <w:tc>
          <w:tcPr>
            <w:tcW w:w="704" w:type="dxa"/>
          </w:tcPr>
          <w:p w14:paraId="1A189C1A" w14:textId="0F53AF33" w:rsidR="00422EDB" w:rsidRPr="000C33C2" w:rsidRDefault="00422EDB">
            <w:pPr>
              <w:rPr>
                <w:sz w:val="20"/>
                <w:szCs w:val="20"/>
                <w:lang w:val="en-US"/>
              </w:rPr>
            </w:pPr>
            <w:r w:rsidRPr="000C33C2">
              <w:rPr>
                <w:sz w:val="20"/>
                <w:szCs w:val="20"/>
                <w:lang w:val="en-US"/>
              </w:rPr>
              <w:t>S.2</w:t>
            </w:r>
          </w:p>
        </w:tc>
        <w:tc>
          <w:tcPr>
            <w:tcW w:w="3260" w:type="dxa"/>
          </w:tcPr>
          <w:p w14:paraId="3D29417A" w14:textId="4BB1D613" w:rsidR="00422EDB" w:rsidRPr="000C33C2" w:rsidRDefault="00422EDB">
            <w:pPr>
              <w:rPr>
                <w:sz w:val="20"/>
                <w:szCs w:val="20"/>
                <w:lang w:val="en-US"/>
              </w:rPr>
            </w:pPr>
            <w:r w:rsidRPr="000C33C2">
              <w:rPr>
                <w:sz w:val="20"/>
                <w:szCs w:val="20"/>
                <w:lang w:val="en-US"/>
              </w:rPr>
              <w:t>Relevant legal entity identifier</w:t>
            </w:r>
          </w:p>
        </w:tc>
        <w:tc>
          <w:tcPr>
            <w:tcW w:w="5098" w:type="dxa"/>
          </w:tcPr>
          <w:p w14:paraId="72C1A95A" w14:textId="4CB9992A" w:rsidR="00422EDB" w:rsidRPr="000C33C2" w:rsidRDefault="00821F77">
            <w:pPr>
              <w:rPr>
                <w:sz w:val="20"/>
                <w:szCs w:val="20"/>
                <w:highlight w:val="yellow"/>
                <w:lang w:val="en-US"/>
              </w:rPr>
            </w:pPr>
            <w:r w:rsidRPr="00821F77">
              <w:rPr>
                <w:sz w:val="20"/>
                <w:szCs w:val="20"/>
                <w:lang w:val="en-US"/>
              </w:rPr>
              <w:t xml:space="preserve">549300Y6TSD1DUCXD871</w:t>
            </w:r>
          </w:p>
        </w:tc>
      </w:tr>
      <w:tr w:rsidR="00422EDB" w:rsidRPr="000C33C2" w14:paraId="71084C63" w14:textId="77777777" w:rsidTr="000C33C2">
        <w:tc>
          <w:tcPr>
            <w:tcW w:w="704" w:type="dxa"/>
          </w:tcPr>
          <w:p w14:paraId="0CA18AF6" w14:textId="1478AF2B" w:rsidR="00422EDB" w:rsidRPr="000C33C2" w:rsidRDefault="00422EDB">
            <w:pPr>
              <w:rPr>
                <w:sz w:val="20"/>
                <w:szCs w:val="20"/>
                <w:lang w:val="en-US"/>
              </w:rPr>
            </w:pPr>
            <w:r w:rsidRPr="000C33C2">
              <w:rPr>
                <w:sz w:val="20"/>
                <w:szCs w:val="20"/>
                <w:lang w:val="en-US"/>
              </w:rPr>
              <w:t>S.3</w:t>
            </w:r>
          </w:p>
        </w:tc>
        <w:tc>
          <w:tcPr>
            <w:tcW w:w="3260" w:type="dxa"/>
          </w:tcPr>
          <w:p w14:paraId="2C5CB445" w14:textId="05812955" w:rsidR="00422EDB" w:rsidRPr="000C33C2" w:rsidRDefault="00422EDB">
            <w:pPr>
              <w:rPr>
                <w:sz w:val="20"/>
                <w:szCs w:val="20"/>
                <w:lang w:val="en-US"/>
              </w:rPr>
            </w:pPr>
            <w:r w:rsidRPr="000C33C2">
              <w:rPr>
                <w:sz w:val="20"/>
                <w:szCs w:val="20"/>
                <w:lang w:val="en-US"/>
              </w:rPr>
              <w:t xml:space="preserve">Name of the </w:t>
            </w:r>
            <w:proofErr w:type="spellStart"/>
            <w:r w:rsidRPr="000C33C2">
              <w:rPr>
                <w:sz w:val="20"/>
                <w:szCs w:val="20"/>
                <w:lang w:val="en-US"/>
              </w:rPr>
              <w:t>cryptoasset</w:t>
            </w:r>
            <w:proofErr w:type="spellEnd"/>
          </w:p>
        </w:tc>
        <w:tc>
          <w:tcPr>
            <w:tcW w:w="5098" w:type="dxa"/>
          </w:tcPr>
          <w:p w14:paraId="7B7C77AE" w14:textId="2706FDE6" w:rsidR="00422EDB" w:rsidRPr="000C33C2" w:rsidRDefault="00272E04">
            <w:pPr>
              <w:rPr>
                <w:sz w:val="20"/>
                <w:szCs w:val="20"/>
              </w:rPr>
            </w:pPr>
            <w:r>
              <w:rPr>
                <w:sz w:val="20"/>
                <w:szCs w:val="20"/>
              </w:rPr>
              <w:t xml:space="preserve">XRP</w:t>
            </w:r>
          </w:p>
        </w:tc>
      </w:tr>
      <w:tr w:rsidR="00422EDB" w:rsidRPr="000C33C2" w14:paraId="6D38AC2A" w14:textId="77777777" w:rsidTr="000C33C2">
        <w:tc>
          <w:tcPr>
            <w:tcW w:w="704" w:type="dxa"/>
          </w:tcPr>
          <w:p w14:paraId="66676DAB" w14:textId="6AEE2558" w:rsidR="00422EDB" w:rsidRPr="000C33C2" w:rsidRDefault="00422EDB">
            <w:pPr>
              <w:rPr>
                <w:sz w:val="20"/>
                <w:szCs w:val="20"/>
                <w:lang w:val="en-US"/>
              </w:rPr>
            </w:pPr>
            <w:r w:rsidRPr="000C33C2">
              <w:rPr>
                <w:sz w:val="20"/>
                <w:szCs w:val="20"/>
                <w:lang w:val="en-US"/>
              </w:rPr>
              <w:t>S.4</w:t>
            </w:r>
          </w:p>
        </w:tc>
        <w:tc>
          <w:tcPr>
            <w:tcW w:w="3260" w:type="dxa"/>
          </w:tcPr>
          <w:p w14:paraId="28E73521" w14:textId="667A0A2E" w:rsidR="00422EDB" w:rsidRPr="000C33C2" w:rsidRDefault="00422EDB">
            <w:pPr>
              <w:rPr>
                <w:sz w:val="20"/>
                <w:szCs w:val="20"/>
                <w:lang w:val="en-US"/>
              </w:rPr>
            </w:pPr>
            <w:r w:rsidRPr="000C33C2">
              <w:rPr>
                <w:sz w:val="20"/>
                <w:szCs w:val="20"/>
                <w:lang w:val="en-US"/>
              </w:rPr>
              <w:t>Consensus Mechanism</w:t>
            </w:r>
          </w:p>
        </w:tc>
        <w:tc>
          <w:tcPr>
            <w:tcW w:w="5098" w:type="dxa"/>
          </w:tcPr>
          <w:p w14:paraId="48EDFE11" w14:textId="27802372" w:rsidR="00422EDB" w:rsidRPr="000C33C2" w:rsidRDefault="00272E04">
            <w:pPr>
              <w:rPr>
                <w:sz w:val="20"/>
                <w:szCs w:val="20"/>
              </w:rPr>
            </w:pPr>
            <w:r>
              <w:rPr>
                <w:sz w:val="20"/>
                <w:szCs w:val="20"/>
              </w:rPr>
              <w:t xml:space="preserve">Byzantine-Fault Tolerant (BFT)</w:t>
            </w:r>
          </w:p>
        </w:tc>
      </w:tr>
      <w:tr w:rsidR="00422EDB" w:rsidRPr="00272E04" w14:paraId="089008B5" w14:textId="77777777" w:rsidTr="000C33C2">
        <w:tc>
          <w:tcPr>
            <w:tcW w:w="704" w:type="dxa"/>
          </w:tcPr>
          <w:p w14:paraId="3231A6DE" w14:textId="4BA4F99B" w:rsidR="00422EDB" w:rsidRPr="000C33C2" w:rsidRDefault="00422EDB" w:rsidP="00422EDB">
            <w:pPr>
              <w:rPr>
                <w:sz w:val="20"/>
                <w:szCs w:val="20"/>
                <w:lang w:val="en-US"/>
              </w:rPr>
            </w:pPr>
            <w:r w:rsidRPr="000C33C2">
              <w:rPr>
                <w:sz w:val="20"/>
                <w:szCs w:val="20"/>
                <w:lang w:val="en-US"/>
              </w:rPr>
              <w:t>S.5</w:t>
            </w:r>
          </w:p>
        </w:tc>
        <w:tc>
          <w:tcPr>
            <w:tcW w:w="3260" w:type="dxa"/>
          </w:tcPr>
          <w:p w14:paraId="35DB63CC" w14:textId="70C34A6D" w:rsidR="00422EDB" w:rsidRPr="000C33C2" w:rsidRDefault="00422EDB" w:rsidP="00422EDB">
            <w:pPr>
              <w:rPr>
                <w:sz w:val="20"/>
                <w:szCs w:val="20"/>
                <w:lang w:val="en-US"/>
              </w:rPr>
            </w:pPr>
            <w:r w:rsidRPr="000C33C2">
              <w:rPr>
                <w:sz w:val="20"/>
                <w:szCs w:val="20"/>
                <w:lang w:val="en-US"/>
              </w:rPr>
              <w:t>Incentive Mechanisms and Applicable Fees</w:t>
            </w:r>
          </w:p>
        </w:tc>
        <w:tc>
          <w:tcPr>
            <w:tcW w:w="5098" w:type="dxa"/>
          </w:tcPr>
          <w:p w14:paraId="3C905816" w14:textId="5D2D65F7" w:rsidR="00422EDB" w:rsidRPr="000C33C2" w:rsidRDefault="00272E04" w:rsidP="00422EDB">
            <w:pPr>
              <w:rPr>
                <w:sz w:val="20"/>
                <w:szCs w:val="20"/>
                <w:lang w:val="en-US"/>
              </w:rPr>
            </w:pPr>
            <w:r w:rsidRPr="00272E04">
              <w:rPr>
                <w:sz w:val="20"/>
                <w:szCs w:val="20"/>
                <w:lang w:val="en-US"/>
              </w:rPr>
              <w:t xml:space="preserve">Byzantine-Fault-Tolerant (BFT) consensus mechanisms, such as Proof of Authority (PoA), Practical Byzantine Fault Tolerance (PBFT), Byzantine Agreement (BA) or similar mechanisms, secure the network through a predefined set of validators who are trusted to validate transactions and add blocks to the ledger. Unlike open networks where anyone can participate (as in Proof-of-Work or Proof-of-Stake), BFT and similar mechanisms operate with known and vetted participants, often selected by a governing entity. Validators are incentivized to maintain the network’s integrity through monetary rewards or external motivations, such as institutional trust or regulatory obligations. Malicious actions, such as submitting invalid transactions or failing to participate in consensus, can result in penalties, removal from the validator set, or other repercussions, creating an economic and reputational deterrent to dishonest behavior. Validators reach consensus by verifying transactions and proposing blocks, and, as long as a majority of validators act honestly, the network remains secure.</w:t>
            </w:r>
          </w:p>
        </w:tc>
      </w:tr>
      <w:tr w:rsidR="00422EDB" w:rsidRPr="000C33C2" w14:paraId="69F01E89" w14:textId="77777777" w:rsidTr="000C33C2">
        <w:tc>
          <w:tcPr>
            <w:tcW w:w="704" w:type="dxa"/>
          </w:tcPr>
          <w:p w14:paraId="18AAAA86" w14:textId="4809B96B" w:rsidR="00422EDB" w:rsidRPr="000C33C2" w:rsidRDefault="00422EDB" w:rsidP="00422EDB">
            <w:pPr>
              <w:rPr>
                <w:sz w:val="20"/>
                <w:szCs w:val="20"/>
                <w:lang w:val="en-US"/>
              </w:rPr>
            </w:pPr>
            <w:r w:rsidRPr="000C33C2">
              <w:rPr>
                <w:sz w:val="20"/>
                <w:szCs w:val="20"/>
                <w:lang w:val="en-US"/>
              </w:rPr>
              <w:t>S.6</w:t>
            </w:r>
          </w:p>
        </w:tc>
        <w:tc>
          <w:tcPr>
            <w:tcW w:w="3260" w:type="dxa"/>
          </w:tcPr>
          <w:p w14:paraId="665C94F1" w14:textId="57EB7488" w:rsidR="00422EDB" w:rsidRPr="000C33C2" w:rsidRDefault="00422EDB" w:rsidP="00422EDB">
            <w:pPr>
              <w:rPr>
                <w:sz w:val="20"/>
                <w:szCs w:val="20"/>
                <w:lang w:val="en-US"/>
              </w:rPr>
            </w:pPr>
            <w:r w:rsidRPr="000C33C2">
              <w:rPr>
                <w:sz w:val="20"/>
                <w:szCs w:val="20"/>
                <w:lang w:val="en-US"/>
              </w:rPr>
              <w:t>Beginning of the period to which the disclosure relates</w:t>
            </w:r>
          </w:p>
        </w:tc>
        <w:tc>
          <w:tcPr>
            <w:tcW w:w="5098" w:type="dxa"/>
          </w:tcPr>
          <w:p w14:paraId="08CADF95" w14:textId="65EA3E10" w:rsidR="00422EDB" w:rsidRPr="000C33C2" w:rsidRDefault="00272E04" w:rsidP="000C33C2">
            <w:pPr>
              <w:rPr>
                <w:sz w:val="20"/>
                <w:szCs w:val="20"/>
                <w:lang w:val="en-US"/>
              </w:rPr>
            </w:pPr>
            <w:r w:rsidRPr="00272E04">
              <w:rPr>
                <w:sz w:val="20"/>
                <w:szCs w:val="20"/>
              </w:rPr>
              <w:t xml:space="preserve">2026-06-17</w:t>
            </w:r>
          </w:p>
        </w:tc>
      </w:tr>
      <w:tr w:rsidR="00422EDB" w:rsidRPr="000C33C2" w14:paraId="3D911C65" w14:textId="77777777" w:rsidTr="000C33C2">
        <w:tc>
          <w:tcPr>
            <w:tcW w:w="704" w:type="dxa"/>
          </w:tcPr>
          <w:p w14:paraId="3BD04B95" w14:textId="02C28EC9" w:rsidR="00422EDB" w:rsidRPr="000C33C2" w:rsidRDefault="00422EDB" w:rsidP="00422EDB">
            <w:pPr>
              <w:rPr>
                <w:sz w:val="20"/>
                <w:szCs w:val="20"/>
                <w:lang w:val="en-US"/>
              </w:rPr>
            </w:pPr>
            <w:r w:rsidRPr="000C33C2">
              <w:rPr>
                <w:sz w:val="20"/>
                <w:szCs w:val="20"/>
                <w:lang w:val="en-US"/>
              </w:rPr>
              <w:t>S.7</w:t>
            </w:r>
          </w:p>
        </w:tc>
        <w:tc>
          <w:tcPr>
            <w:tcW w:w="3260" w:type="dxa"/>
          </w:tcPr>
          <w:p w14:paraId="40F0567D" w14:textId="1B96B989" w:rsidR="00422EDB" w:rsidRPr="000C33C2" w:rsidRDefault="00422EDB" w:rsidP="00422EDB">
            <w:pPr>
              <w:rPr>
                <w:sz w:val="20"/>
                <w:szCs w:val="20"/>
                <w:lang w:val="en-US"/>
              </w:rPr>
            </w:pPr>
            <w:r w:rsidRPr="000C33C2">
              <w:rPr>
                <w:sz w:val="20"/>
                <w:szCs w:val="20"/>
                <w:lang w:val="en-US"/>
              </w:rPr>
              <w:t>End of the period to which the disclosure relates</w:t>
            </w:r>
          </w:p>
        </w:tc>
        <w:tc>
          <w:tcPr>
            <w:tcW w:w="5098" w:type="dxa"/>
          </w:tcPr>
          <w:p w14:paraId="5F32DE90" w14:textId="2909751C" w:rsidR="00422EDB" w:rsidRPr="000C33C2" w:rsidRDefault="00272E04" w:rsidP="00422EDB">
            <w:pPr>
              <w:rPr>
                <w:sz w:val="20"/>
                <w:szCs w:val="20"/>
                <w:lang w:val="en-US"/>
              </w:rPr>
            </w:pPr>
            <w:r w:rsidRPr="00272E04">
              <w:rPr>
                <w:sz w:val="20"/>
                <w:szCs w:val="20"/>
              </w:rPr>
              <w:t xml:space="preserve">2026-06-30</w:t>
            </w:r>
          </w:p>
        </w:tc>
      </w:tr>
      <w:tr w:rsidR="00422EDB" w:rsidRPr="00F14DEC" w14:paraId="301549B6" w14:textId="77777777" w:rsidTr="009A740A">
        <w:tc>
          <w:tcPr>
            <w:tcW w:w="9062" w:type="dxa"/>
            <w:gridSpan w:val="3"/>
          </w:tcPr>
          <w:p w14:paraId="39774816" w14:textId="07DC36A6" w:rsidR="00422EDB" w:rsidRPr="000C33C2" w:rsidRDefault="00422EDB" w:rsidP="00422EDB">
            <w:pPr>
              <w:jc w:val="center"/>
              <w:rPr>
                <w:b/>
                <w:bCs/>
                <w:sz w:val="20"/>
                <w:szCs w:val="20"/>
                <w:lang w:val="en-US"/>
              </w:rPr>
            </w:pPr>
            <w:r w:rsidRPr="000C33C2">
              <w:rPr>
                <w:b/>
                <w:bCs/>
                <w:sz w:val="20"/>
                <w:szCs w:val="20"/>
                <w:lang w:val="en-US"/>
              </w:rPr>
              <w:t>Mandatory key indicator on energy consumption</w:t>
            </w:r>
          </w:p>
        </w:tc>
      </w:tr>
      <w:tr w:rsidR="00422EDB" w:rsidRPr="000C33C2" w14:paraId="6EAD5D7F" w14:textId="77777777" w:rsidTr="000C33C2">
        <w:tc>
          <w:tcPr>
            <w:tcW w:w="704" w:type="dxa"/>
          </w:tcPr>
          <w:p w14:paraId="0D99F9B8" w14:textId="127A9872" w:rsidR="00422EDB" w:rsidRPr="000C33C2" w:rsidRDefault="00422EDB" w:rsidP="00422EDB">
            <w:pPr>
              <w:rPr>
                <w:sz w:val="20"/>
                <w:szCs w:val="20"/>
                <w:lang w:val="en-US"/>
              </w:rPr>
            </w:pPr>
            <w:r w:rsidRPr="000C33C2">
              <w:rPr>
                <w:sz w:val="20"/>
                <w:szCs w:val="20"/>
                <w:lang w:val="en-US"/>
              </w:rPr>
              <w:t>S.8</w:t>
            </w:r>
          </w:p>
        </w:tc>
        <w:tc>
          <w:tcPr>
            <w:tcW w:w="3260" w:type="dxa"/>
          </w:tcPr>
          <w:p w14:paraId="670DAE21" w14:textId="63394D9F" w:rsidR="00422EDB" w:rsidRPr="000C33C2" w:rsidRDefault="00422EDB" w:rsidP="000C33C2">
            <w:pPr>
              <w:rPr>
                <w:sz w:val="20"/>
                <w:szCs w:val="20"/>
                <w:lang w:val="en-US"/>
              </w:rPr>
            </w:pPr>
            <w:r w:rsidRPr="000C33C2">
              <w:rPr>
                <w:sz w:val="20"/>
                <w:szCs w:val="20"/>
                <w:lang w:val="en-US"/>
              </w:rPr>
              <w:t>Energy consumption</w:t>
            </w:r>
            <w:r w:rsidR="000C33C2" w:rsidRPr="000C33C2">
              <w:rPr>
                <w:sz w:val="20"/>
                <w:szCs w:val="20"/>
                <w:lang w:val="en-US"/>
              </w:rPr>
              <w:t xml:space="preserve"> (per year)</w:t>
            </w:r>
            <w:r w:rsidR="006B2F17">
              <w:rPr>
                <w:sz w:val="20"/>
                <w:szCs w:val="20"/>
                <w:lang w:val="en-US"/>
              </w:rPr>
              <w:t xml:space="preserve"> in kWh</w:t>
            </w:r>
          </w:p>
        </w:tc>
        <w:tc>
          <w:tcPr>
            <w:tcW w:w="5098" w:type="dxa"/>
          </w:tcPr>
          <w:p w14:paraId="12DE213A" w14:textId="240521EC" w:rsidR="00422EDB" w:rsidRPr="000C33C2" w:rsidRDefault="00272E04" w:rsidP="006B2F17">
            <w:pPr>
              <w:rPr>
                <w:sz w:val="20"/>
                <w:szCs w:val="20"/>
              </w:rPr>
            </w:pPr>
            <w:r w:rsidRPr="00272E04">
              <w:rPr>
                <w:sz w:val="20"/>
                <w:szCs w:val="20"/>
              </w:rPr>
              <w:t xml:space="preserve">458003.16726</w:t>
            </w:r>
          </w:p>
        </w:tc>
      </w:tr>
      <w:tr w:rsidR="00422EDB" w:rsidRPr="000C33C2" w14:paraId="64DB318B" w14:textId="77777777" w:rsidTr="006E7391">
        <w:tc>
          <w:tcPr>
            <w:tcW w:w="9062" w:type="dxa"/>
            <w:gridSpan w:val="3"/>
          </w:tcPr>
          <w:p w14:paraId="3D6EF5DF" w14:textId="4AF87746"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2934830" w14:textId="77777777" w:rsidTr="000C33C2">
        <w:tc>
          <w:tcPr>
            <w:tcW w:w="704" w:type="dxa"/>
          </w:tcPr>
          <w:p w14:paraId="6FB2D837" w14:textId="4F6322E5" w:rsidR="00422EDB" w:rsidRPr="000C33C2" w:rsidRDefault="00422EDB" w:rsidP="00422EDB">
            <w:pPr>
              <w:rPr>
                <w:sz w:val="20"/>
                <w:szCs w:val="20"/>
                <w:lang w:val="en-US"/>
              </w:rPr>
            </w:pPr>
            <w:r w:rsidRPr="000C33C2">
              <w:rPr>
                <w:sz w:val="20"/>
                <w:szCs w:val="20"/>
                <w:lang w:val="en-US"/>
              </w:rPr>
              <w:t>S.9</w:t>
            </w:r>
          </w:p>
        </w:tc>
        <w:tc>
          <w:tcPr>
            <w:tcW w:w="3260" w:type="dxa"/>
          </w:tcPr>
          <w:p w14:paraId="3B1DB668" w14:textId="505ACA4B" w:rsidR="00422EDB" w:rsidRPr="000C33C2" w:rsidRDefault="00422EDB" w:rsidP="00422EDB">
            <w:pPr>
              <w:rPr>
                <w:sz w:val="20"/>
                <w:szCs w:val="20"/>
                <w:lang w:val="en-US"/>
              </w:rPr>
            </w:pPr>
            <w:r w:rsidRPr="000C33C2">
              <w:rPr>
                <w:sz w:val="20"/>
                <w:szCs w:val="20"/>
                <w:lang w:val="en-US"/>
              </w:rPr>
              <w:t>Energy consumption sources and methodologies</w:t>
            </w:r>
          </w:p>
        </w:tc>
        <w:tc>
          <w:tcPr>
            <w:tcW w:w="5098" w:type="dxa"/>
          </w:tcPr>
          <w:p w14:paraId="7DEB9A81" w14:textId="4E6A6953"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F14DEC" w14:paraId="7F70EF13" w14:textId="77777777" w:rsidTr="00514200">
        <w:tc>
          <w:tcPr>
            <w:tcW w:w="9062" w:type="dxa"/>
            <w:gridSpan w:val="3"/>
          </w:tcPr>
          <w:p w14:paraId="5693CECA" w14:textId="086E12B8" w:rsidR="00422EDB" w:rsidRPr="000C33C2" w:rsidRDefault="00422EDB" w:rsidP="00422EDB">
            <w:pPr>
              <w:jc w:val="center"/>
              <w:rPr>
                <w:b/>
                <w:bCs/>
                <w:sz w:val="20"/>
                <w:szCs w:val="20"/>
                <w:lang w:val="en-US"/>
              </w:rPr>
            </w:pPr>
            <w:r w:rsidRPr="000C33C2">
              <w:rPr>
                <w:b/>
                <w:bCs/>
                <w:sz w:val="20"/>
                <w:szCs w:val="20"/>
                <w:lang w:val="en-US"/>
              </w:rPr>
              <w:t>Supplementary key indicators on energy and GHG emissions</w:t>
            </w:r>
          </w:p>
        </w:tc>
      </w:tr>
      <w:tr w:rsidR="00422EDB" w:rsidRPr="000C33C2" w14:paraId="1A56657A" w14:textId="77777777" w:rsidTr="000C33C2">
        <w:tc>
          <w:tcPr>
            <w:tcW w:w="704" w:type="dxa"/>
          </w:tcPr>
          <w:p w14:paraId="38D42942" w14:textId="417E57E6" w:rsidR="00422EDB" w:rsidRPr="000C33C2" w:rsidRDefault="00422EDB" w:rsidP="00422EDB">
            <w:pPr>
              <w:rPr>
                <w:sz w:val="20"/>
                <w:szCs w:val="20"/>
                <w:lang w:val="en-US"/>
              </w:rPr>
            </w:pPr>
            <w:r w:rsidRPr="000C33C2">
              <w:rPr>
                <w:sz w:val="20"/>
                <w:szCs w:val="20"/>
                <w:lang w:val="en-US"/>
              </w:rPr>
              <w:t>S.10</w:t>
            </w:r>
          </w:p>
        </w:tc>
        <w:tc>
          <w:tcPr>
            <w:tcW w:w="3260" w:type="dxa"/>
          </w:tcPr>
          <w:p w14:paraId="3E3FAA02" w14:textId="29945B18" w:rsidR="00422EDB" w:rsidRPr="000C33C2" w:rsidRDefault="00422EDB" w:rsidP="000C33C2">
            <w:pPr>
              <w:rPr>
                <w:sz w:val="20"/>
                <w:szCs w:val="20"/>
                <w:lang w:val="en-US"/>
              </w:rPr>
            </w:pPr>
            <w:r w:rsidRPr="000C33C2">
              <w:rPr>
                <w:sz w:val="20"/>
                <w:szCs w:val="20"/>
                <w:lang w:val="en-US"/>
              </w:rPr>
              <w:t>Renewable energy consumption</w:t>
            </w:r>
            <w:r w:rsidR="000C33C2" w:rsidRPr="000C33C2">
              <w:rPr>
                <w:sz w:val="20"/>
                <w:szCs w:val="20"/>
                <w:lang w:val="en-US"/>
              </w:rPr>
              <w:t xml:space="preserve"> (share of energy from renewable generation resources)</w:t>
            </w:r>
            <w:r w:rsidR="006B2F17">
              <w:rPr>
                <w:sz w:val="20"/>
                <w:szCs w:val="20"/>
                <w:lang w:val="en-US"/>
              </w:rPr>
              <w:t xml:space="preserve"> in %</w:t>
            </w:r>
          </w:p>
        </w:tc>
        <w:tc>
          <w:tcPr>
            <w:tcW w:w="5098" w:type="dxa"/>
          </w:tcPr>
          <w:p w14:paraId="2B69F12F" w14:textId="3970C019" w:rsidR="00422EDB" w:rsidRPr="000C33C2" w:rsidRDefault="00272E04" w:rsidP="000C33C2">
            <w:pPr>
              <w:rPr>
                <w:sz w:val="20"/>
                <w:szCs w:val="20"/>
                <w:lang w:val="en-US"/>
              </w:rPr>
            </w:pPr>
            <w:r w:rsidRPr="00272E04">
              <w:rPr>
                <w:sz w:val="20"/>
                <w:szCs w:val="20"/>
                <w:lang w:val="en-US"/>
              </w:rPr>
              <w:t xml:space="preserve">29.267139406</w:t>
            </w:r>
          </w:p>
        </w:tc>
      </w:tr>
      <w:tr w:rsidR="00422EDB" w:rsidRPr="000C33C2" w14:paraId="79A571BB" w14:textId="77777777" w:rsidTr="000C33C2">
        <w:tc>
          <w:tcPr>
            <w:tcW w:w="704" w:type="dxa"/>
          </w:tcPr>
          <w:p w14:paraId="3EB3AD5B" w14:textId="53D01FF5" w:rsidR="00422EDB" w:rsidRPr="000C33C2" w:rsidRDefault="00422EDB" w:rsidP="00422EDB">
            <w:pPr>
              <w:rPr>
                <w:sz w:val="20"/>
                <w:szCs w:val="20"/>
                <w:lang w:val="en-US"/>
              </w:rPr>
            </w:pPr>
            <w:r w:rsidRPr="000C33C2">
              <w:rPr>
                <w:sz w:val="20"/>
                <w:szCs w:val="20"/>
                <w:lang w:val="en-US"/>
              </w:rPr>
              <w:t>S.11</w:t>
            </w:r>
          </w:p>
        </w:tc>
        <w:tc>
          <w:tcPr>
            <w:tcW w:w="3260" w:type="dxa"/>
          </w:tcPr>
          <w:p w14:paraId="0E0E4A10" w14:textId="212B1687" w:rsidR="00422EDB" w:rsidRPr="000C33C2" w:rsidRDefault="00422EDB" w:rsidP="00422EDB">
            <w:pPr>
              <w:rPr>
                <w:sz w:val="20"/>
                <w:szCs w:val="20"/>
                <w:lang w:val="en-US"/>
              </w:rPr>
            </w:pPr>
            <w:r w:rsidRPr="000C33C2">
              <w:rPr>
                <w:sz w:val="20"/>
                <w:szCs w:val="20"/>
                <w:lang w:val="en-US"/>
              </w:rPr>
              <w:t>Energy intensity</w:t>
            </w:r>
            <w:r w:rsidR="000C33C2" w:rsidRPr="000C33C2">
              <w:rPr>
                <w:sz w:val="20"/>
                <w:szCs w:val="20"/>
                <w:lang w:val="en-US"/>
              </w:rPr>
              <w:br/>
              <w:t>(energy used per validated transaction)</w:t>
            </w:r>
            <w:r w:rsidR="006B2F17">
              <w:rPr>
                <w:sz w:val="20"/>
                <w:szCs w:val="20"/>
                <w:lang w:val="en-US"/>
              </w:rPr>
              <w:t xml:space="preserve"> in kWh</w:t>
            </w:r>
          </w:p>
        </w:tc>
        <w:tc>
          <w:tcPr>
            <w:tcW w:w="5098" w:type="dxa"/>
          </w:tcPr>
          <w:p w14:paraId="553BFEA9" w14:textId="758840A2" w:rsidR="00422EDB" w:rsidRPr="000C33C2" w:rsidRDefault="00272E04" w:rsidP="006B2F17">
            <w:pPr>
              <w:rPr>
                <w:sz w:val="20"/>
                <w:szCs w:val="20"/>
                <w:lang w:val="en-US"/>
              </w:rPr>
            </w:pPr>
            <w:r w:rsidRPr="00272E04">
              <w:rPr>
                <w:sz w:val="20"/>
                <w:szCs w:val="20"/>
                <w:lang w:val="en-US"/>
              </w:rPr>
              <w:t xml:space="preserve">0.00002</w:t>
            </w:r>
          </w:p>
        </w:tc>
      </w:tr>
      <w:tr w:rsidR="00422EDB" w:rsidRPr="000C33C2" w14:paraId="525FD4C3" w14:textId="77777777" w:rsidTr="000C33C2">
        <w:tc>
          <w:tcPr>
            <w:tcW w:w="704" w:type="dxa"/>
          </w:tcPr>
          <w:p w14:paraId="7F408714" w14:textId="607CAF82" w:rsidR="00422EDB" w:rsidRPr="000C33C2" w:rsidRDefault="00422EDB" w:rsidP="00422EDB">
            <w:pPr>
              <w:rPr>
                <w:sz w:val="20"/>
                <w:szCs w:val="20"/>
                <w:lang w:val="en-US"/>
              </w:rPr>
            </w:pPr>
            <w:r w:rsidRPr="000C33C2">
              <w:rPr>
                <w:sz w:val="20"/>
                <w:szCs w:val="20"/>
                <w:lang w:val="en-US"/>
              </w:rPr>
              <w:t>S.12</w:t>
            </w:r>
          </w:p>
        </w:tc>
        <w:tc>
          <w:tcPr>
            <w:tcW w:w="3260" w:type="dxa"/>
          </w:tcPr>
          <w:p w14:paraId="698B19D4" w14:textId="597BC790" w:rsidR="00422EDB" w:rsidRPr="000C33C2" w:rsidRDefault="00422EDB" w:rsidP="00422EDB">
            <w:pPr>
              <w:rPr>
                <w:sz w:val="20"/>
                <w:szCs w:val="20"/>
                <w:lang w:val="en-US"/>
              </w:rPr>
            </w:pPr>
            <w:r w:rsidRPr="000C33C2">
              <w:rPr>
                <w:sz w:val="20"/>
                <w:szCs w:val="20"/>
                <w:lang w:val="en-US"/>
              </w:rPr>
              <w:t>Scope 1 DLT GHG emissions – Controlled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86AC04C" w14:textId="190109B0" w:rsidR="00422EDB" w:rsidRPr="000C33C2" w:rsidRDefault="00272E04" w:rsidP="006B2F17">
            <w:pPr>
              <w:rPr>
                <w:sz w:val="20"/>
                <w:szCs w:val="20"/>
                <w:lang w:val="en-US"/>
              </w:rPr>
            </w:pPr>
            <w:r w:rsidRPr="00272E04">
              <w:rPr>
                <w:sz w:val="20"/>
                <w:szCs w:val="20"/>
                <w:lang w:val="en-US"/>
              </w:rPr>
              <w:t xml:space="preserve">0</w:t>
            </w:r>
            <w:r w:rsidR="008C64CB" w:rsidRPr="000C33C2">
              <w:rPr>
                <w:sz w:val="20"/>
                <w:szCs w:val="20"/>
                <w:lang w:val="en-US"/>
              </w:rPr>
              <w:t xml:space="preserve"> </w:t>
            </w:r>
          </w:p>
        </w:tc>
      </w:tr>
      <w:tr w:rsidR="00422EDB" w:rsidRPr="000C33C2" w14:paraId="2946AB99" w14:textId="77777777" w:rsidTr="000C33C2">
        <w:tc>
          <w:tcPr>
            <w:tcW w:w="704" w:type="dxa"/>
          </w:tcPr>
          <w:p w14:paraId="2062AD39" w14:textId="5927226C" w:rsidR="00422EDB" w:rsidRPr="000C33C2" w:rsidRDefault="00422EDB" w:rsidP="00422EDB">
            <w:pPr>
              <w:rPr>
                <w:sz w:val="20"/>
                <w:szCs w:val="20"/>
                <w:lang w:val="en-US"/>
              </w:rPr>
            </w:pPr>
            <w:r w:rsidRPr="000C33C2">
              <w:rPr>
                <w:sz w:val="20"/>
                <w:szCs w:val="20"/>
                <w:lang w:val="en-US"/>
              </w:rPr>
              <w:t>S.13</w:t>
            </w:r>
          </w:p>
        </w:tc>
        <w:tc>
          <w:tcPr>
            <w:tcW w:w="3260" w:type="dxa"/>
          </w:tcPr>
          <w:p w14:paraId="049C2247" w14:textId="7CA3CCC8" w:rsidR="00422EDB" w:rsidRPr="000C33C2" w:rsidRDefault="00422EDB" w:rsidP="00422EDB">
            <w:pPr>
              <w:rPr>
                <w:sz w:val="20"/>
                <w:szCs w:val="20"/>
                <w:lang w:val="en-US"/>
              </w:rPr>
            </w:pPr>
            <w:r w:rsidRPr="000C33C2">
              <w:rPr>
                <w:sz w:val="20"/>
                <w:szCs w:val="20"/>
                <w:lang w:val="en-US"/>
              </w:rPr>
              <w:t>Scope 2 DLT GHG emissions – Purchased</w:t>
            </w:r>
            <w:r w:rsidR="000C33C2" w:rsidRPr="000C33C2">
              <w:rPr>
                <w:sz w:val="20"/>
                <w:szCs w:val="20"/>
                <w:lang w:val="en-US"/>
              </w:rPr>
              <w:t xml:space="preserve"> (per year)</w:t>
            </w:r>
            <w:r w:rsidR="006B2F17">
              <w:rPr>
                <w:sz w:val="20"/>
                <w:szCs w:val="20"/>
                <w:lang w:val="en-US"/>
              </w:rPr>
              <w:t xml:space="preserve"> in </w:t>
            </w:r>
            <w:r w:rsidR="006B2F17" w:rsidRPr="000C33C2">
              <w:rPr>
                <w:sz w:val="20"/>
                <w:szCs w:val="20"/>
                <w:lang w:val="en-US"/>
              </w:rPr>
              <w:t>t</w:t>
            </w:r>
            <w:r w:rsidR="006B2F17">
              <w:rPr>
                <w:sz w:val="20"/>
                <w:szCs w:val="20"/>
                <w:lang w:val="en-US"/>
              </w:rPr>
              <w:t xml:space="preserve">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74DBA49A" w14:textId="684633AF" w:rsidR="00422EDB" w:rsidRPr="000C33C2" w:rsidRDefault="00272E04" w:rsidP="006B2F17">
            <w:pPr>
              <w:rPr>
                <w:sz w:val="20"/>
                <w:szCs w:val="20"/>
                <w:lang w:val="en-US"/>
              </w:rPr>
            </w:pPr>
            <w:r w:rsidRPr="00272E04">
              <w:rPr>
                <w:sz w:val="20"/>
                <w:szCs w:val="20"/>
                <w:lang w:val="en-US"/>
              </w:rPr>
              <w:t xml:space="preserve">197.02201</w:t>
            </w:r>
          </w:p>
        </w:tc>
      </w:tr>
      <w:tr w:rsidR="00422EDB" w:rsidRPr="000C33C2" w14:paraId="2ED1D56B" w14:textId="77777777" w:rsidTr="000C33C2">
        <w:tc>
          <w:tcPr>
            <w:tcW w:w="704" w:type="dxa"/>
          </w:tcPr>
          <w:p w14:paraId="1C9DE2FA" w14:textId="16FF1842" w:rsidR="00422EDB" w:rsidRPr="000C33C2" w:rsidRDefault="00422EDB" w:rsidP="00422EDB">
            <w:pPr>
              <w:rPr>
                <w:sz w:val="20"/>
                <w:szCs w:val="20"/>
                <w:lang w:val="en-US"/>
              </w:rPr>
            </w:pPr>
            <w:r w:rsidRPr="000C33C2">
              <w:rPr>
                <w:sz w:val="20"/>
                <w:szCs w:val="20"/>
                <w:lang w:val="en-US"/>
              </w:rPr>
              <w:t>S.14</w:t>
            </w:r>
          </w:p>
        </w:tc>
        <w:tc>
          <w:tcPr>
            <w:tcW w:w="3260" w:type="dxa"/>
          </w:tcPr>
          <w:p w14:paraId="7019451E" w14:textId="553C16D9" w:rsidR="00422EDB" w:rsidRPr="000C33C2" w:rsidRDefault="00422EDB" w:rsidP="00422EDB">
            <w:pPr>
              <w:rPr>
                <w:sz w:val="20"/>
                <w:szCs w:val="20"/>
                <w:lang w:val="en-US"/>
              </w:rPr>
            </w:pPr>
            <w:r w:rsidRPr="000C33C2">
              <w:rPr>
                <w:sz w:val="20"/>
                <w:szCs w:val="20"/>
                <w:lang w:val="en-US"/>
              </w:rPr>
              <w:t>GHG intensity</w:t>
            </w:r>
            <w:r w:rsidR="000C33C2" w:rsidRPr="000C33C2">
              <w:rPr>
                <w:sz w:val="20"/>
                <w:szCs w:val="20"/>
                <w:lang w:val="en-US"/>
              </w:rPr>
              <w:br/>
              <w:t>(emissions per validated transaction)</w:t>
            </w:r>
            <w:r w:rsidR="006B2F17">
              <w:rPr>
                <w:sz w:val="20"/>
                <w:szCs w:val="20"/>
                <w:lang w:val="en-US"/>
              </w:rPr>
              <w:t xml:space="preserve"> in kg </w:t>
            </w:r>
            <w:r w:rsidR="006B2F17" w:rsidRPr="000C33C2">
              <w:rPr>
                <w:sz w:val="20"/>
                <w:szCs w:val="20"/>
                <w:lang w:val="en-US"/>
              </w:rPr>
              <w:t>CO</w:t>
            </w:r>
            <w:r w:rsidR="006B2F17" w:rsidRPr="000C33C2">
              <w:rPr>
                <w:sz w:val="20"/>
                <w:szCs w:val="20"/>
                <w:vertAlign w:val="subscript"/>
                <w:lang w:val="en-US"/>
              </w:rPr>
              <w:t>2</w:t>
            </w:r>
            <w:r w:rsidR="006B2F17" w:rsidRPr="000C33C2">
              <w:rPr>
                <w:sz w:val="20"/>
                <w:szCs w:val="20"/>
                <w:lang w:val="en-US"/>
              </w:rPr>
              <w:t>eq</w:t>
            </w:r>
          </w:p>
        </w:tc>
        <w:tc>
          <w:tcPr>
            <w:tcW w:w="5098" w:type="dxa"/>
          </w:tcPr>
          <w:p w14:paraId="147D87DD" w14:textId="3F4E3793" w:rsidR="00422EDB" w:rsidRPr="000C33C2" w:rsidRDefault="00272E04" w:rsidP="006B2F17">
            <w:pPr>
              <w:rPr>
                <w:sz w:val="20"/>
                <w:szCs w:val="20"/>
                <w:lang w:val="en-US"/>
              </w:rPr>
            </w:pPr>
            <w:r w:rsidRPr="00272E04">
              <w:rPr>
                <w:sz w:val="20"/>
                <w:szCs w:val="20"/>
                <w:lang w:val="en-US"/>
              </w:rPr>
              <w:t xml:space="preserve">0.00001</w:t>
            </w:r>
          </w:p>
        </w:tc>
      </w:tr>
      <w:tr w:rsidR="00422EDB" w:rsidRPr="000C33C2" w14:paraId="6719AC76" w14:textId="77777777" w:rsidTr="00787BD7">
        <w:tc>
          <w:tcPr>
            <w:tcW w:w="9062" w:type="dxa"/>
            <w:gridSpan w:val="3"/>
          </w:tcPr>
          <w:p w14:paraId="2E9A0E0C" w14:textId="7A8CE375" w:rsidR="00422EDB" w:rsidRPr="000C33C2" w:rsidRDefault="00422EDB" w:rsidP="00422EDB">
            <w:pPr>
              <w:jc w:val="center"/>
              <w:rPr>
                <w:b/>
                <w:bCs/>
                <w:sz w:val="20"/>
                <w:szCs w:val="20"/>
                <w:lang w:val="en-US"/>
              </w:rPr>
            </w:pPr>
            <w:r w:rsidRPr="000C33C2">
              <w:rPr>
                <w:b/>
                <w:bCs/>
                <w:sz w:val="20"/>
                <w:szCs w:val="20"/>
                <w:lang w:val="en-US"/>
              </w:rPr>
              <w:t>Sources and methodologies</w:t>
            </w:r>
          </w:p>
        </w:tc>
      </w:tr>
      <w:tr w:rsidR="00422EDB" w:rsidRPr="00272E04" w14:paraId="54C75AF1" w14:textId="77777777" w:rsidTr="000C33C2">
        <w:tc>
          <w:tcPr>
            <w:tcW w:w="704" w:type="dxa"/>
          </w:tcPr>
          <w:p w14:paraId="01C98CBD" w14:textId="2305D1BE" w:rsidR="00422EDB" w:rsidRPr="000C33C2" w:rsidRDefault="00422EDB" w:rsidP="00422EDB">
            <w:pPr>
              <w:rPr>
                <w:sz w:val="20"/>
                <w:szCs w:val="20"/>
                <w:lang w:val="en-US"/>
              </w:rPr>
            </w:pPr>
            <w:r w:rsidRPr="000C33C2">
              <w:rPr>
                <w:sz w:val="20"/>
                <w:szCs w:val="20"/>
                <w:lang w:val="en-US"/>
              </w:rPr>
              <w:t>S.15</w:t>
            </w:r>
          </w:p>
        </w:tc>
        <w:tc>
          <w:tcPr>
            <w:tcW w:w="3260" w:type="dxa"/>
          </w:tcPr>
          <w:p w14:paraId="2C28ECB4" w14:textId="13AD925B" w:rsidR="00422EDB" w:rsidRPr="000C33C2" w:rsidRDefault="00422EDB" w:rsidP="00422EDB">
            <w:pPr>
              <w:rPr>
                <w:sz w:val="20"/>
                <w:szCs w:val="20"/>
                <w:lang w:val="en-US"/>
              </w:rPr>
            </w:pPr>
            <w:r w:rsidRPr="000C33C2">
              <w:rPr>
                <w:sz w:val="20"/>
                <w:szCs w:val="20"/>
                <w:lang w:val="en-US"/>
              </w:rPr>
              <w:t>Key energy sources and methodologies</w:t>
            </w:r>
          </w:p>
        </w:tc>
        <w:tc>
          <w:tcPr>
            <w:tcW w:w="5098" w:type="dxa"/>
          </w:tcPr>
          <w:p w14:paraId="390D7828" w14:textId="2122C18D"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r w:rsidR="00422EDB" w:rsidRPr="00272E04" w14:paraId="6B975D8F" w14:textId="77777777" w:rsidTr="000C33C2">
        <w:tc>
          <w:tcPr>
            <w:tcW w:w="704" w:type="dxa"/>
          </w:tcPr>
          <w:p w14:paraId="510F8998" w14:textId="453F673F" w:rsidR="00422EDB" w:rsidRPr="000C33C2" w:rsidRDefault="00422EDB" w:rsidP="00422EDB">
            <w:pPr>
              <w:rPr>
                <w:sz w:val="20"/>
                <w:szCs w:val="20"/>
                <w:lang w:val="en-US"/>
              </w:rPr>
            </w:pPr>
            <w:r w:rsidRPr="000C33C2">
              <w:rPr>
                <w:sz w:val="20"/>
                <w:szCs w:val="20"/>
                <w:lang w:val="en-US"/>
              </w:rPr>
              <w:t>S.16</w:t>
            </w:r>
          </w:p>
        </w:tc>
        <w:tc>
          <w:tcPr>
            <w:tcW w:w="3260" w:type="dxa"/>
          </w:tcPr>
          <w:p w14:paraId="5C1E6B9A" w14:textId="5A3A4F18" w:rsidR="00422EDB" w:rsidRPr="000C33C2" w:rsidRDefault="00422EDB" w:rsidP="00422EDB">
            <w:pPr>
              <w:rPr>
                <w:sz w:val="20"/>
                <w:szCs w:val="20"/>
                <w:lang w:val="en-US"/>
              </w:rPr>
            </w:pPr>
            <w:r w:rsidRPr="000C33C2">
              <w:rPr>
                <w:sz w:val="20"/>
                <w:szCs w:val="20"/>
                <w:lang w:val="en-US"/>
              </w:rPr>
              <w:t>Key GHG sources and methodologies</w:t>
            </w:r>
          </w:p>
        </w:tc>
        <w:tc>
          <w:tcPr>
            <w:tcW w:w="5098" w:type="dxa"/>
          </w:tcPr>
          <w:p w14:paraId="1612D58E" w14:textId="18893A54" w:rsidR="00422EDB" w:rsidRPr="000C33C2" w:rsidRDefault="00272E04" w:rsidP="00422EDB">
            <w:pPr>
              <w:rPr>
                <w:sz w:val="20"/>
                <w:szCs w:val="20"/>
                <w:lang w:val="en-US"/>
              </w:rPr>
            </w:pPr>
            <w:r w:rsidRPr="00272E04">
              <w:rPr>
                <w:sz w:val="20"/>
                <w:szCs w:val="20"/>
                <w:lang w:val="en-US"/>
              </w:rPr>
              <w:t xml:space="preserve"/>
            </w:r>
            <w:r>
              <w:t xml:space="preserve">Data provided by CCRI; all indicators are based on a set of assumptions and thus represent estimates; methodology description and overview of input data, external datasets and underlying assumptions available at: </w:t>
            </w:r>
            <w:hyperlink r:id="rId10">
              <w:r>
                <w:rPr>
                  <w:rStyle w:val="Hyperlink"/>
                </w:rPr>
                <w:t xml:space="preserve">carbon-ratings.com/dl/whitepaper-mica-methods-2024</w:t>
              </w:r>
            </w:hyperlink>
            <w:r>
              <w:t xml:space="preserve"> and </w:t>
            </w:r>
            <w:hyperlink r:id="rId11">
              <w:r>
                <w:rPr>
                  <w:rStyle w:val="Hyperlink"/>
                </w:rPr>
                <w:t xml:space="preserve">docs.mica.api.carbon-ratings.com</w:t>
              </w:r>
            </w:hyperlink>
            <w:r>
              <w:t xml:space="preserve">. We do not account for any offsetting of energy consumption or other market-based mechanism as of today.</w:t>
            </w:r>
            <w:r>
              <w:t xml:space="preserve"/>
            </w:r>
          </w:p>
        </w:tc>
      </w:tr>
    </w:tbl>
    <w:p w14:paraId="3F31C714" w14:textId="77777777" w:rsidR="00D13235" w:rsidRDefault="00D13235">
      <w:pPr>
        <w:rPr>
          <w:sz w:val="20"/>
          <w:szCs w:val="20"/>
          <w:lang w:val="en-US"/>
        </w:rPr>
      </w:pPr>
    </w:p>
    <w:p w14:paraId="29B8B06F" w14:textId="2F97191F" w:rsidR="00F14DEC" w:rsidRPr="00F14DEC" w:rsidRDefault="00F14DEC">
      <w:pPr>
        <w:rPr>
          <w:sz w:val="20"/>
          <w:szCs w:val="20"/>
        </w:rPr>
      </w:pPr>
      <w:r>
        <w:rPr>
          <w:sz w:val="20"/>
          <w:szCs w:val="20"/>
          <w:lang w:val="en-US"/>
        </w:rPr>
        <w:t xml:space="preserve"/>
      </w:r>
      <w:r>
        <w:t xml:space="preserve"/>
      </w:r>
    </w:p>
    <w:sectPr w:rsidR="00F14DEC" w:rsidRPr="00F14DEC">
      <w:headerReference w:type="default" r:id="rId6"/>
      <w:footerReference w:type="default" r:id="rId7"/>
      <w:pgSz w:w="11906" w:h="16838"/>
      <w:pgMar w:top="1417" w:right="1417" w:bottom="1134" w:left="1417"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06F1EB" w14:textId="77777777" w:rsidR="00056146" w:rsidRDefault="00056146" w:rsidP="00D93193">
      <w:pPr>
        <w:spacing w:after="0" w:line="240" w:lineRule="auto"/>
      </w:pPr>
      <w:r>
        <w:separator/>
      </w:r>
    </w:p>
  </w:endnote>
  <w:endnote w:type="continuationSeparator" w:id="0">
    <w:p w14:paraId="41A4E174" w14:textId="77777777" w:rsidR="00056146" w:rsidRDefault="00056146" w:rsidP="00D9319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9125D9" w14:textId="63B683E1" w:rsidR="003C343E" w:rsidRPr="003C343E" w:rsidRDefault="003C343E">
    <w:pPr>
      <w:pStyle w:val="Fuzeile"/>
      <w:rPr>
        <w:lang w:val="en-US"/>
      </w:rPr>
    </w:pPr>
    <w:r w:rsidRPr="003C343E">
      <w:rPr>
        <w:lang w:val="en-US"/>
      </w:rPr>
      <w:t xml:space="preserve">Last review: 2026-07-01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5E7E916" w14:textId="77777777" w:rsidR="00056146" w:rsidRDefault="00056146" w:rsidP="00D93193">
      <w:pPr>
        <w:spacing w:after="0" w:line="240" w:lineRule="auto"/>
      </w:pPr>
      <w:r>
        <w:separator/>
      </w:r>
    </w:p>
  </w:footnote>
  <w:footnote w:type="continuationSeparator" w:id="0">
    <w:p w14:paraId="7AF8AD34" w14:textId="77777777" w:rsidR="00056146" w:rsidRDefault="00056146" w:rsidP="00D9319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2DC5CD" w14:textId="099F92BE" w:rsidR="00D93193" w:rsidRDefault="00D93193" w:rsidP="00D93193">
    <w:pPr>
      <w:pStyle w:val="Kopfzeile"/>
      <w:jc w:val="right"/>
    </w:pPr>
    <w:r>
      <w:rPr>
        <w:noProof/>
        <w:lang w:val="en-US"/>
      </w:rPr>
      <w:drawing>
        <wp:inline distT="0" distB="0" distL="0" distR="0" wp14:anchorId="6BAD8F07" wp14:editId="6C343BD0">
          <wp:extent cx="846161" cy="298110"/>
          <wp:effectExtent l="0" t="0" r="0" b="6985"/>
          <wp:docPr id="1528449155" name="Picture 1" descr="CCRI Indi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CRI Indices"/>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885844" cy="312091"/>
                  </a:xfrm>
                  <a:prstGeom prst="rect">
                    <a:avLst/>
                  </a:prstGeom>
                  <a:noFill/>
                  <a:ln>
                    <a:noFill/>
                  </a:ln>
                </pic:spPr>
              </pic:pic>
            </a:graphicData>
          </a:graphic>
        </wp:inline>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zewsDQ1MTY3MjMysjBS0lEKTi0uzszPAykwrgUAvoFyiSwAAAA="/>
  </w:docVars>
  <w:rsids>
    <w:rsidRoot w:val="00422EDB"/>
    <w:rsid w:val="00013623"/>
    <w:rsid w:val="00056146"/>
    <w:rsid w:val="000C33C2"/>
    <w:rsid w:val="001625CA"/>
    <w:rsid w:val="001C5946"/>
    <w:rsid w:val="00272E04"/>
    <w:rsid w:val="003C343E"/>
    <w:rsid w:val="0042078F"/>
    <w:rsid w:val="00422EDB"/>
    <w:rsid w:val="004E7AA9"/>
    <w:rsid w:val="004F122F"/>
    <w:rsid w:val="005307DF"/>
    <w:rsid w:val="0068514A"/>
    <w:rsid w:val="006B2F17"/>
    <w:rsid w:val="00795905"/>
    <w:rsid w:val="00821F77"/>
    <w:rsid w:val="00850647"/>
    <w:rsid w:val="00872906"/>
    <w:rsid w:val="008C64CB"/>
    <w:rsid w:val="008D51E0"/>
    <w:rsid w:val="0098649E"/>
    <w:rsid w:val="00CD2245"/>
    <w:rsid w:val="00D13235"/>
    <w:rsid w:val="00D93193"/>
    <w:rsid w:val="00DF3F0C"/>
    <w:rsid w:val="00E70086"/>
    <w:rsid w:val="00F14DEC"/>
    <w:rsid w:val="00FB5FE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F812D2"/>
  <w15:chartTrackingRefBased/>
  <w15:docId w15:val="{B2D84654-632C-48A9-A061-14E6278C23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0"/>
        <w:szCs w:val="20"/>
        <w:lang w:val="de-D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paragraph" w:styleId="berschrift1">
    <w:name w:val="heading 1"/>
    <w:basedOn w:val="Standard"/>
    <w:next w:val="Standard"/>
    <w:link w:val="berschrift1Zchn"/>
    <w:uiPriority w:val="9"/>
    <w:qFormat/>
    <w:rsid w:val="00422EDB"/>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erschrift2">
    <w:name w:val="heading 2"/>
    <w:basedOn w:val="Standard"/>
    <w:next w:val="Standard"/>
    <w:link w:val="berschrift2Zchn"/>
    <w:uiPriority w:val="9"/>
    <w:semiHidden/>
    <w:unhideWhenUsed/>
    <w:qFormat/>
    <w:rsid w:val="00422EDB"/>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erschrift3">
    <w:name w:val="heading 3"/>
    <w:basedOn w:val="Standard"/>
    <w:next w:val="Standard"/>
    <w:link w:val="berschrift3Zchn"/>
    <w:uiPriority w:val="9"/>
    <w:semiHidden/>
    <w:unhideWhenUsed/>
    <w:qFormat/>
    <w:rsid w:val="00422EDB"/>
    <w:pPr>
      <w:keepNext/>
      <w:keepLines/>
      <w:spacing w:before="160" w:after="80"/>
      <w:outlineLvl w:val="2"/>
    </w:pPr>
    <w:rPr>
      <w:rFonts w:eastAsiaTheme="majorEastAsia" w:cstheme="majorBidi"/>
      <w:color w:val="0F4761" w:themeColor="accent1" w:themeShade="BF"/>
      <w:sz w:val="28"/>
      <w:szCs w:val="28"/>
    </w:rPr>
  </w:style>
  <w:style w:type="paragraph" w:styleId="berschrift4">
    <w:name w:val="heading 4"/>
    <w:basedOn w:val="Standard"/>
    <w:next w:val="Standard"/>
    <w:link w:val="berschrift4Zchn"/>
    <w:uiPriority w:val="9"/>
    <w:semiHidden/>
    <w:unhideWhenUsed/>
    <w:qFormat/>
    <w:rsid w:val="00422EDB"/>
    <w:pPr>
      <w:keepNext/>
      <w:keepLines/>
      <w:spacing w:before="80" w:after="40"/>
      <w:outlineLvl w:val="3"/>
    </w:pPr>
    <w:rPr>
      <w:rFonts w:eastAsiaTheme="majorEastAsia" w:cstheme="majorBidi"/>
      <w:i/>
      <w:iCs/>
      <w:color w:val="0F4761" w:themeColor="accent1" w:themeShade="BF"/>
    </w:rPr>
  </w:style>
  <w:style w:type="paragraph" w:styleId="berschrift5">
    <w:name w:val="heading 5"/>
    <w:basedOn w:val="Standard"/>
    <w:next w:val="Standard"/>
    <w:link w:val="berschrift5Zchn"/>
    <w:uiPriority w:val="9"/>
    <w:semiHidden/>
    <w:unhideWhenUsed/>
    <w:qFormat/>
    <w:rsid w:val="00422EDB"/>
    <w:pPr>
      <w:keepNext/>
      <w:keepLines/>
      <w:spacing w:before="80" w:after="40"/>
      <w:outlineLvl w:val="4"/>
    </w:pPr>
    <w:rPr>
      <w:rFonts w:eastAsiaTheme="majorEastAsia" w:cstheme="majorBidi"/>
      <w:color w:val="0F4761" w:themeColor="accent1" w:themeShade="BF"/>
    </w:rPr>
  </w:style>
  <w:style w:type="paragraph" w:styleId="berschrift6">
    <w:name w:val="heading 6"/>
    <w:basedOn w:val="Standard"/>
    <w:next w:val="Standard"/>
    <w:link w:val="berschrift6Zchn"/>
    <w:uiPriority w:val="9"/>
    <w:semiHidden/>
    <w:unhideWhenUsed/>
    <w:qFormat/>
    <w:rsid w:val="00422EDB"/>
    <w:pPr>
      <w:keepNext/>
      <w:keepLines/>
      <w:spacing w:before="40" w:after="0"/>
      <w:outlineLvl w:val="5"/>
    </w:pPr>
    <w:rPr>
      <w:rFonts w:eastAsiaTheme="majorEastAsia" w:cstheme="majorBidi"/>
      <w:i/>
      <w:iCs/>
      <w:color w:val="595959" w:themeColor="text1" w:themeTint="A6"/>
    </w:rPr>
  </w:style>
  <w:style w:type="paragraph" w:styleId="berschrift7">
    <w:name w:val="heading 7"/>
    <w:basedOn w:val="Standard"/>
    <w:next w:val="Standard"/>
    <w:link w:val="berschrift7Zchn"/>
    <w:uiPriority w:val="9"/>
    <w:semiHidden/>
    <w:unhideWhenUsed/>
    <w:qFormat/>
    <w:rsid w:val="00422EDB"/>
    <w:pPr>
      <w:keepNext/>
      <w:keepLines/>
      <w:spacing w:before="40" w:after="0"/>
      <w:outlineLvl w:val="6"/>
    </w:pPr>
    <w:rPr>
      <w:rFonts w:eastAsiaTheme="majorEastAsia" w:cstheme="majorBidi"/>
      <w:color w:val="595959" w:themeColor="text1" w:themeTint="A6"/>
    </w:rPr>
  </w:style>
  <w:style w:type="paragraph" w:styleId="berschrift8">
    <w:name w:val="heading 8"/>
    <w:basedOn w:val="Standard"/>
    <w:next w:val="Standard"/>
    <w:link w:val="berschrift8Zchn"/>
    <w:uiPriority w:val="9"/>
    <w:semiHidden/>
    <w:unhideWhenUsed/>
    <w:qFormat/>
    <w:rsid w:val="00422EDB"/>
    <w:pPr>
      <w:keepNext/>
      <w:keepLines/>
      <w:spacing w:after="0"/>
      <w:outlineLvl w:val="7"/>
    </w:pPr>
    <w:rPr>
      <w:rFonts w:eastAsiaTheme="majorEastAsia" w:cstheme="majorBidi"/>
      <w:i/>
      <w:iCs/>
      <w:color w:val="272727" w:themeColor="text1" w:themeTint="D8"/>
    </w:rPr>
  </w:style>
  <w:style w:type="paragraph" w:styleId="berschrift9">
    <w:name w:val="heading 9"/>
    <w:basedOn w:val="Standard"/>
    <w:next w:val="Standard"/>
    <w:link w:val="berschrift9Zchn"/>
    <w:uiPriority w:val="9"/>
    <w:semiHidden/>
    <w:unhideWhenUsed/>
    <w:qFormat/>
    <w:rsid w:val="00422EDB"/>
    <w:pPr>
      <w:keepNext/>
      <w:keepLines/>
      <w:spacing w:after="0"/>
      <w:outlineLvl w:val="8"/>
    </w:pPr>
    <w:rPr>
      <w:rFonts w:eastAsiaTheme="majorEastAsia" w:cstheme="majorBidi"/>
      <w:color w:val="272727" w:themeColor="text1" w:themeTint="D8"/>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basedOn w:val="Absatz-Standardschriftart"/>
    <w:link w:val="berschrift1"/>
    <w:uiPriority w:val="9"/>
    <w:rsid w:val="00422EDB"/>
    <w:rPr>
      <w:rFonts w:asciiTheme="majorHAnsi" w:eastAsiaTheme="majorEastAsia" w:hAnsiTheme="majorHAnsi" w:cstheme="majorBidi"/>
      <w:color w:val="0F4761" w:themeColor="accent1" w:themeShade="BF"/>
      <w:sz w:val="40"/>
      <w:szCs w:val="40"/>
    </w:rPr>
  </w:style>
  <w:style w:type="character" w:customStyle="1" w:styleId="berschrift2Zchn">
    <w:name w:val="Überschrift 2 Zchn"/>
    <w:basedOn w:val="Absatz-Standardschriftart"/>
    <w:link w:val="berschrift2"/>
    <w:uiPriority w:val="9"/>
    <w:semiHidden/>
    <w:rsid w:val="00422EDB"/>
    <w:rPr>
      <w:rFonts w:asciiTheme="majorHAnsi" w:eastAsiaTheme="majorEastAsia" w:hAnsiTheme="majorHAnsi" w:cstheme="majorBidi"/>
      <w:color w:val="0F4761" w:themeColor="accent1" w:themeShade="BF"/>
      <w:sz w:val="32"/>
      <w:szCs w:val="32"/>
    </w:rPr>
  </w:style>
  <w:style w:type="character" w:customStyle="1" w:styleId="berschrift3Zchn">
    <w:name w:val="Überschrift 3 Zchn"/>
    <w:basedOn w:val="Absatz-Standardschriftart"/>
    <w:link w:val="berschrift3"/>
    <w:uiPriority w:val="9"/>
    <w:semiHidden/>
    <w:rsid w:val="00422EDB"/>
    <w:rPr>
      <w:rFonts w:eastAsiaTheme="majorEastAsia" w:cstheme="majorBidi"/>
      <w:color w:val="0F4761" w:themeColor="accent1" w:themeShade="BF"/>
      <w:sz w:val="28"/>
      <w:szCs w:val="28"/>
    </w:rPr>
  </w:style>
  <w:style w:type="character" w:customStyle="1" w:styleId="berschrift4Zchn">
    <w:name w:val="Überschrift 4 Zchn"/>
    <w:basedOn w:val="Absatz-Standardschriftart"/>
    <w:link w:val="berschrift4"/>
    <w:uiPriority w:val="9"/>
    <w:semiHidden/>
    <w:rsid w:val="00422EDB"/>
    <w:rPr>
      <w:rFonts w:eastAsiaTheme="majorEastAsia" w:cstheme="majorBidi"/>
      <w:i/>
      <w:iCs/>
      <w:color w:val="0F4761" w:themeColor="accent1" w:themeShade="BF"/>
    </w:rPr>
  </w:style>
  <w:style w:type="character" w:customStyle="1" w:styleId="berschrift5Zchn">
    <w:name w:val="Überschrift 5 Zchn"/>
    <w:basedOn w:val="Absatz-Standardschriftart"/>
    <w:link w:val="berschrift5"/>
    <w:uiPriority w:val="9"/>
    <w:semiHidden/>
    <w:rsid w:val="00422EDB"/>
    <w:rPr>
      <w:rFonts w:eastAsiaTheme="majorEastAsia" w:cstheme="majorBidi"/>
      <w:color w:val="0F4761" w:themeColor="accent1" w:themeShade="BF"/>
    </w:rPr>
  </w:style>
  <w:style w:type="character" w:customStyle="1" w:styleId="berschrift6Zchn">
    <w:name w:val="Überschrift 6 Zchn"/>
    <w:basedOn w:val="Absatz-Standardschriftart"/>
    <w:link w:val="berschrift6"/>
    <w:uiPriority w:val="9"/>
    <w:semiHidden/>
    <w:rsid w:val="00422EDB"/>
    <w:rPr>
      <w:rFonts w:eastAsiaTheme="majorEastAsia" w:cstheme="majorBidi"/>
      <w:i/>
      <w:iCs/>
      <w:color w:val="595959" w:themeColor="text1" w:themeTint="A6"/>
    </w:rPr>
  </w:style>
  <w:style w:type="character" w:customStyle="1" w:styleId="berschrift7Zchn">
    <w:name w:val="Überschrift 7 Zchn"/>
    <w:basedOn w:val="Absatz-Standardschriftart"/>
    <w:link w:val="berschrift7"/>
    <w:uiPriority w:val="9"/>
    <w:semiHidden/>
    <w:rsid w:val="00422EDB"/>
    <w:rPr>
      <w:rFonts w:eastAsiaTheme="majorEastAsia" w:cstheme="majorBidi"/>
      <w:color w:val="595959" w:themeColor="text1" w:themeTint="A6"/>
    </w:rPr>
  </w:style>
  <w:style w:type="character" w:customStyle="1" w:styleId="berschrift8Zchn">
    <w:name w:val="Überschrift 8 Zchn"/>
    <w:basedOn w:val="Absatz-Standardschriftart"/>
    <w:link w:val="berschrift8"/>
    <w:uiPriority w:val="9"/>
    <w:semiHidden/>
    <w:rsid w:val="00422EDB"/>
    <w:rPr>
      <w:rFonts w:eastAsiaTheme="majorEastAsia" w:cstheme="majorBidi"/>
      <w:i/>
      <w:iCs/>
      <w:color w:val="272727" w:themeColor="text1" w:themeTint="D8"/>
    </w:rPr>
  </w:style>
  <w:style w:type="character" w:customStyle="1" w:styleId="berschrift9Zchn">
    <w:name w:val="Überschrift 9 Zchn"/>
    <w:basedOn w:val="Absatz-Standardschriftart"/>
    <w:link w:val="berschrift9"/>
    <w:uiPriority w:val="9"/>
    <w:semiHidden/>
    <w:rsid w:val="00422EDB"/>
    <w:rPr>
      <w:rFonts w:eastAsiaTheme="majorEastAsia" w:cstheme="majorBidi"/>
      <w:color w:val="272727" w:themeColor="text1" w:themeTint="D8"/>
    </w:rPr>
  </w:style>
  <w:style w:type="paragraph" w:styleId="Titel">
    <w:name w:val="Title"/>
    <w:basedOn w:val="Standard"/>
    <w:next w:val="Standard"/>
    <w:link w:val="TitelZchn"/>
    <w:uiPriority w:val="10"/>
    <w:qFormat/>
    <w:rsid w:val="00422EDB"/>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Zchn">
    <w:name w:val="Titel Zchn"/>
    <w:basedOn w:val="Absatz-Standardschriftart"/>
    <w:link w:val="Titel"/>
    <w:uiPriority w:val="10"/>
    <w:rsid w:val="00422EDB"/>
    <w:rPr>
      <w:rFonts w:asciiTheme="majorHAnsi" w:eastAsiaTheme="majorEastAsia" w:hAnsiTheme="majorHAnsi" w:cstheme="majorBidi"/>
      <w:spacing w:val="-10"/>
      <w:kern w:val="28"/>
      <w:sz w:val="56"/>
      <w:szCs w:val="56"/>
    </w:rPr>
  </w:style>
  <w:style w:type="paragraph" w:styleId="Untertitel">
    <w:name w:val="Subtitle"/>
    <w:basedOn w:val="Standard"/>
    <w:next w:val="Standard"/>
    <w:link w:val="UntertitelZchn"/>
    <w:uiPriority w:val="11"/>
    <w:qFormat/>
    <w:rsid w:val="00422EDB"/>
    <w:pPr>
      <w:numPr>
        <w:ilvl w:val="1"/>
      </w:numPr>
    </w:pPr>
    <w:rPr>
      <w:rFonts w:eastAsiaTheme="majorEastAsia" w:cstheme="majorBidi"/>
      <w:color w:val="595959" w:themeColor="text1" w:themeTint="A6"/>
      <w:spacing w:val="15"/>
      <w:sz w:val="28"/>
      <w:szCs w:val="28"/>
    </w:rPr>
  </w:style>
  <w:style w:type="character" w:customStyle="1" w:styleId="UntertitelZchn">
    <w:name w:val="Untertitel Zchn"/>
    <w:basedOn w:val="Absatz-Standardschriftart"/>
    <w:link w:val="Untertitel"/>
    <w:uiPriority w:val="11"/>
    <w:rsid w:val="00422EDB"/>
    <w:rPr>
      <w:rFonts w:eastAsiaTheme="majorEastAsia" w:cstheme="majorBidi"/>
      <w:color w:val="595959" w:themeColor="text1" w:themeTint="A6"/>
      <w:spacing w:val="15"/>
      <w:sz w:val="28"/>
      <w:szCs w:val="28"/>
    </w:rPr>
  </w:style>
  <w:style w:type="paragraph" w:styleId="Zitat">
    <w:name w:val="Quote"/>
    <w:basedOn w:val="Standard"/>
    <w:next w:val="Standard"/>
    <w:link w:val="ZitatZchn"/>
    <w:uiPriority w:val="29"/>
    <w:qFormat/>
    <w:rsid w:val="00422EDB"/>
    <w:pPr>
      <w:spacing w:before="160"/>
      <w:jc w:val="center"/>
    </w:pPr>
    <w:rPr>
      <w:i/>
      <w:iCs/>
      <w:color w:val="404040" w:themeColor="text1" w:themeTint="BF"/>
    </w:rPr>
  </w:style>
  <w:style w:type="character" w:customStyle="1" w:styleId="ZitatZchn">
    <w:name w:val="Zitat Zchn"/>
    <w:basedOn w:val="Absatz-Standardschriftart"/>
    <w:link w:val="Zitat"/>
    <w:uiPriority w:val="29"/>
    <w:rsid w:val="00422EDB"/>
    <w:rPr>
      <w:i/>
      <w:iCs/>
      <w:color w:val="404040" w:themeColor="text1" w:themeTint="BF"/>
    </w:rPr>
  </w:style>
  <w:style w:type="paragraph" w:styleId="Listenabsatz">
    <w:name w:val="List Paragraph"/>
    <w:basedOn w:val="Standard"/>
    <w:uiPriority w:val="34"/>
    <w:qFormat/>
    <w:rsid w:val="00422EDB"/>
    <w:pPr>
      <w:ind w:left="720"/>
      <w:contextualSpacing/>
    </w:pPr>
  </w:style>
  <w:style w:type="character" w:styleId="IntensiveHervorhebung">
    <w:name w:val="Intense Emphasis"/>
    <w:basedOn w:val="Absatz-Standardschriftart"/>
    <w:uiPriority w:val="21"/>
    <w:qFormat/>
    <w:rsid w:val="00422EDB"/>
    <w:rPr>
      <w:i/>
      <w:iCs/>
      <w:color w:val="0F4761" w:themeColor="accent1" w:themeShade="BF"/>
    </w:rPr>
  </w:style>
  <w:style w:type="paragraph" w:styleId="IntensivesZitat">
    <w:name w:val="Intense Quote"/>
    <w:basedOn w:val="Standard"/>
    <w:next w:val="Standard"/>
    <w:link w:val="IntensivesZitatZchn"/>
    <w:uiPriority w:val="30"/>
    <w:qFormat/>
    <w:rsid w:val="00422EDB"/>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ivesZitatZchn">
    <w:name w:val="Intensives Zitat Zchn"/>
    <w:basedOn w:val="Absatz-Standardschriftart"/>
    <w:link w:val="IntensivesZitat"/>
    <w:uiPriority w:val="30"/>
    <w:rsid w:val="00422EDB"/>
    <w:rPr>
      <w:i/>
      <w:iCs/>
      <w:color w:val="0F4761" w:themeColor="accent1" w:themeShade="BF"/>
    </w:rPr>
  </w:style>
  <w:style w:type="character" w:styleId="IntensiverVerweis">
    <w:name w:val="Intense Reference"/>
    <w:basedOn w:val="Absatz-Standardschriftart"/>
    <w:uiPriority w:val="32"/>
    <w:qFormat/>
    <w:rsid w:val="00422EDB"/>
    <w:rPr>
      <w:b/>
      <w:bCs/>
      <w:smallCaps/>
      <w:color w:val="0F4761" w:themeColor="accent1" w:themeShade="BF"/>
      <w:spacing w:val="5"/>
    </w:rPr>
  </w:style>
  <w:style w:type="table" w:styleId="Tabellenraster">
    <w:name w:val="Table Grid"/>
    <w:basedOn w:val="NormaleTabelle"/>
    <w:uiPriority w:val="39"/>
    <w:rsid w:val="00422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Absatz-Standardschriftart"/>
    <w:uiPriority w:val="99"/>
    <w:unhideWhenUsed/>
    <w:rsid w:val="008C64CB"/>
    <w:rPr>
      <w:color w:val="467886" w:themeColor="hyperlink"/>
      <w:u w:val="single"/>
    </w:rPr>
  </w:style>
  <w:style w:type="character" w:customStyle="1" w:styleId="NichtaufgelsteErwhnung1">
    <w:name w:val="Nicht aufgelöste Erwähnung1"/>
    <w:basedOn w:val="Absatz-Standardschriftart"/>
    <w:uiPriority w:val="99"/>
    <w:semiHidden/>
    <w:unhideWhenUsed/>
    <w:rsid w:val="008C64CB"/>
    <w:rPr>
      <w:color w:val="605E5C"/>
      <w:shd w:val="clear" w:color="auto" w:fill="E1DFDD"/>
    </w:rPr>
  </w:style>
  <w:style w:type="paragraph" w:styleId="Kopfzeile">
    <w:name w:val="header"/>
    <w:basedOn w:val="Standard"/>
    <w:link w:val="KopfzeileZchn"/>
    <w:uiPriority w:val="99"/>
    <w:unhideWhenUsed/>
    <w:rsid w:val="00D93193"/>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D93193"/>
  </w:style>
  <w:style w:type="paragraph" w:styleId="Fuzeile">
    <w:name w:val="footer"/>
    <w:basedOn w:val="Standard"/>
    <w:link w:val="FuzeileZchn"/>
    <w:uiPriority w:val="99"/>
    <w:unhideWhenUsed/>
    <w:rsid w:val="00D93193"/>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D931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86195589">
      <w:bodyDiv w:val="1"/>
      <w:marLeft w:val="0"/>
      <w:marRight w:val="0"/>
      <w:marTop w:val="0"/>
      <w:marBottom w:val="0"/>
      <w:divBdr>
        <w:top w:val="none" w:sz="0" w:space="0" w:color="auto"/>
        <w:left w:val="none" w:sz="0" w:space="0" w:color="auto"/>
        <w:bottom w:val="none" w:sz="0" w:space="0" w:color="auto"/>
        <w:right w:val="none" w:sz="0" w:space="0" w:color="auto"/>
      </w:divBdr>
    </w:div>
    <w:div w:id="815299101">
      <w:bodyDiv w:val="1"/>
      <w:marLeft w:val="0"/>
      <w:marRight w:val="0"/>
      <w:marTop w:val="0"/>
      <w:marBottom w:val="0"/>
      <w:divBdr>
        <w:top w:val="none" w:sz="0" w:space="0" w:color="auto"/>
        <w:left w:val="none" w:sz="0" w:space="0" w:color="auto"/>
        <w:bottom w:val="none" w:sz="0" w:space="0" w:color="auto"/>
        <w:right w:val="none" w:sz="0" w:space="0" w:color="auto"/>
      </w:divBdr>
    </w:div>
    <w:div w:id="997266421">
      <w:bodyDiv w:val="1"/>
      <w:marLeft w:val="0"/>
      <w:marRight w:val="0"/>
      <w:marTop w:val="0"/>
      <w:marBottom w:val="0"/>
      <w:divBdr>
        <w:top w:val="none" w:sz="0" w:space="0" w:color="auto"/>
        <w:left w:val="none" w:sz="0" w:space="0" w:color="auto"/>
        <w:bottom w:val="none" w:sz="0" w:space="0" w:color="auto"/>
        <w:right w:val="none" w:sz="0" w:space="0" w:color="auto"/>
      </w:divBdr>
    </w:div>
    <w:div w:id="1076244193">
      <w:bodyDiv w:val="1"/>
      <w:marLeft w:val="0"/>
      <w:marRight w:val="0"/>
      <w:marTop w:val="0"/>
      <w:marBottom w:val="0"/>
      <w:divBdr>
        <w:top w:val="none" w:sz="0" w:space="0" w:color="auto"/>
        <w:left w:val="none" w:sz="0" w:space="0" w:color="auto"/>
        <w:bottom w:val="none" w:sz="0" w:space="0" w:color="auto"/>
        <w:right w:val="none" w:sz="0" w:space="0" w:color="auto"/>
      </w:divBdr>
    </w:div>
    <w:div w:id="1206679772">
      <w:bodyDiv w:val="1"/>
      <w:marLeft w:val="0"/>
      <w:marRight w:val="0"/>
      <w:marTop w:val="0"/>
      <w:marBottom w:val="0"/>
      <w:divBdr>
        <w:top w:val="none" w:sz="0" w:space="0" w:color="auto"/>
        <w:left w:val="none" w:sz="0" w:space="0" w:color="auto"/>
        <w:bottom w:val="none" w:sz="0" w:space="0" w:color="auto"/>
        <w:right w:val="none" w:sz="0" w:space="0" w:color="auto"/>
      </w:divBdr>
    </w:div>
    <w:div w:id="1332566644">
      <w:bodyDiv w:val="1"/>
      <w:marLeft w:val="0"/>
      <w:marRight w:val="0"/>
      <w:marTop w:val="0"/>
      <w:marBottom w:val="0"/>
      <w:divBdr>
        <w:top w:val="none" w:sz="0" w:space="0" w:color="auto"/>
        <w:left w:val="none" w:sz="0" w:space="0" w:color="auto"/>
        <w:bottom w:val="none" w:sz="0" w:space="0" w:color="auto"/>
        <w:right w:val="none" w:sz="0" w:space="0" w:color="auto"/>
      </w:divBdr>
    </w:div>
    <w:div w:id="1634942942">
      <w:bodyDiv w:val="1"/>
      <w:marLeft w:val="0"/>
      <w:marRight w:val="0"/>
      <w:marTop w:val="0"/>
      <w:marBottom w:val="0"/>
      <w:divBdr>
        <w:top w:val="none" w:sz="0" w:space="0" w:color="auto"/>
        <w:left w:val="none" w:sz="0" w:space="0" w:color="auto"/>
        <w:bottom w:val="none" w:sz="0" w:space="0" w:color="auto"/>
        <w:right w:val="none" w:sz="0" w:space="0" w:color="auto"/>
      </w:divBdr>
    </w:div>
    <w:div w:id="18228897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 Id="rId10" Type="http://schemas.openxmlformats.org/officeDocument/2006/relationships/hyperlink" Target="https://carbon-ratings.com/dl/whitepaper-mica-methods-2024" TargetMode="External"/><Relationship Id="rId11" Type="http://schemas.openxmlformats.org/officeDocument/2006/relationships/hyperlink" Target="https://docs.mica.api.carbon-ratings.co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1</Pages>
  <Words>212</Words>
  <Characters>1337</Characters>
  <Application>Microsoft Office Word</Application>
  <DocSecurity>0</DocSecurity>
  <Lines>11</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Christian Stoll</dc:creator>
  <cp:keywords/>
  <dc:description/>
  <cp:lastModifiedBy>Uli Gallersdörfer</cp:lastModifiedBy>
  <cp:revision>11</cp:revision>
  <cp:lastPrinted>2024-11-28T13:58:00Z</cp:lastPrinted>
  <dcterms:created xsi:type="dcterms:W3CDTF">2024-11-22T14:21:00Z</dcterms:created>
  <dcterms:modified xsi:type="dcterms:W3CDTF">2025-10-30T10:33:00Z</dcterms:modified>
  <dc:identifier/>
  <dc:language/>
</cp:coreProperties>
</file>