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659347" w14:textId="1E569907" w:rsidR="00D93193" w:rsidRPr="00DF3F0C" w:rsidRDefault="00D93193" w:rsidP="00DF3F0C">
      <w:pPr>
        <w:jc w:val="center"/>
        <w:rPr>
          <w:b/>
          <w:bCs/>
          <w:lang w:val="en-US"/>
        </w:rPr>
      </w:pPr>
      <w:r w:rsidRPr="00DF3F0C">
        <w:rPr>
          <w:b/>
          <w:bCs/>
          <w:lang w:val="en-US"/>
        </w:rPr>
        <w:t>Mandatory information on principal adverse impacts on the climate and other environment-related adverse impacts of the consensus mechanism</w:t>
      </w:r>
    </w:p>
    <w:tbl>
      <w:tblPr>
        <w:tblStyle w:val="Tabellenraster"/>
        <w:tblW w:w="0" w:type="auto"/>
        <w:tblLook w:val="04A0" w:firstRow="1" w:lastRow="0" w:firstColumn="1" w:lastColumn="0" w:noHBand="0" w:noVBand="1"/>
      </w:tblPr>
      <w:tblGrid>
        <w:gridCol w:w="704"/>
        <w:gridCol w:w="3260"/>
        <w:gridCol w:w="5098"/>
      </w:tblGrid>
      <w:tr w:rsidR="00422EDB" w:rsidRPr="000C33C2" w14:paraId="442A3A39" w14:textId="77777777" w:rsidTr="000C33C2">
        <w:tc>
          <w:tcPr>
            <w:tcW w:w="704" w:type="dxa"/>
            <w:shd w:val="clear" w:color="auto" w:fill="595959" w:themeFill="text1" w:themeFillTint="A6"/>
          </w:tcPr>
          <w:p w14:paraId="57B5F487" w14:textId="3CB08EAB" w:rsidR="00422EDB" w:rsidRPr="000C33C2" w:rsidRDefault="00422EDB">
            <w:pPr>
              <w:rPr>
                <w:b/>
                <w:bCs/>
                <w:color w:val="FFFFFF" w:themeColor="background1"/>
                <w:sz w:val="20"/>
                <w:szCs w:val="20"/>
                <w:lang w:val="en-US"/>
              </w:rPr>
            </w:pPr>
            <w:r w:rsidRPr="000C33C2">
              <w:rPr>
                <w:b/>
                <w:bCs/>
                <w:color w:val="FFFFFF" w:themeColor="background1"/>
                <w:sz w:val="20"/>
                <w:szCs w:val="20"/>
                <w:lang w:val="en-US"/>
              </w:rPr>
              <w:t>N</w:t>
            </w:r>
          </w:p>
        </w:tc>
        <w:tc>
          <w:tcPr>
            <w:tcW w:w="3260" w:type="dxa"/>
            <w:shd w:val="clear" w:color="auto" w:fill="595959" w:themeFill="text1" w:themeFillTint="A6"/>
          </w:tcPr>
          <w:p w14:paraId="7A72B4D5" w14:textId="3041187C" w:rsidR="00422EDB" w:rsidRPr="000C33C2" w:rsidRDefault="00422EDB">
            <w:pPr>
              <w:rPr>
                <w:b/>
                <w:bCs/>
                <w:color w:val="FFFFFF" w:themeColor="background1"/>
                <w:sz w:val="20"/>
                <w:szCs w:val="20"/>
                <w:lang w:val="en-US"/>
              </w:rPr>
            </w:pPr>
            <w:r w:rsidRPr="000C33C2">
              <w:rPr>
                <w:b/>
                <w:bCs/>
                <w:color w:val="FFFFFF" w:themeColor="background1"/>
                <w:sz w:val="20"/>
                <w:szCs w:val="20"/>
                <w:lang w:val="en-US"/>
              </w:rPr>
              <w:t>Field</w:t>
            </w:r>
          </w:p>
        </w:tc>
        <w:tc>
          <w:tcPr>
            <w:tcW w:w="5098" w:type="dxa"/>
            <w:shd w:val="clear" w:color="auto" w:fill="595959" w:themeFill="text1" w:themeFillTint="A6"/>
          </w:tcPr>
          <w:p w14:paraId="1D904EC2" w14:textId="7E8B4362" w:rsidR="00422EDB" w:rsidRPr="000C33C2" w:rsidRDefault="00422EDB">
            <w:pPr>
              <w:rPr>
                <w:b/>
                <w:bCs/>
                <w:color w:val="FFFFFF" w:themeColor="background1"/>
                <w:sz w:val="20"/>
                <w:szCs w:val="20"/>
                <w:lang w:val="en-US"/>
              </w:rPr>
            </w:pPr>
            <w:r w:rsidRPr="000C33C2">
              <w:rPr>
                <w:b/>
                <w:bCs/>
                <w:color w:val="FFFFFF" w:themeColor="background1"/>
                <w:sz w:val="20"/>
                <w:szCs w:val="20"/>
                <w:lang w:val="en-US"/>
              </w:rPr>
              <w:t>Content</w:t>
            </w:r>
          </w:p>
        </w:tc>
      </w:tr>
      <w:tr w:rsidR="00422EDB" w:rsidRPr="000C33C2" w14:paraId="1886F5F1" w14:textId="77777777" w:rsidTr="00541804">
        <w:tc>
          <w:tcPr>
            <w:tcW w:w="9062" w:type="dxa"/>
            <w:gridSpan w:val="3"/>
          </w:tcPr>
          <w:p w14:paraId="6A8F5A45" w14:textId="49CC8C25" w:rsidR="00422EDB" w:rsidRPr="000C33C2" w:rsidRDefault="00422EDB" w:rsidP="00422EDB">
            <w:pPr>
              <w:jc w:val="center"/>
              <w:rPr>
                <w:b/>
                <w:bCs/>
                <w:sz w:val="20"/>
                <w:szCs w:val="20"/>
                <w:lang w:val="en-US"/>
              </w:rPr>
            </w:pPr>
            <w:r w:rsidRPr="000C33C2">
              <w:rPr>
                <w:b/>
                <w:bCs/>
                <w:sz w:val="20"/>
                <w:szCs w:val="20"/>
                <w:lang w:val="en-US"/>
              </w:rPr>
              <w:t>General information</w:t>
            </w:r>
          </w:p>
        </w:tc>
      </w:tr>
      <w:tr w:rsidR="00422EDB" w:rsidRPr="000C33C2" w14:paraId="06482DFB" w14:textId="77777777" w:rsidTr="000C33C2">
        <w:tc>
          <w:tcPr>
            <w:tcW w:w="704" w:type="dxa"/>
          </w:tcPr>
          <w:p w14:paraId="23087D11" w14:textId="2B42A75F" w:rsidR="00422EDB" w:rsidRPr="000C33C2" w:rsidRDefault="00422EDB">
            <w:pPr>
              <w:rPr>
                <w:sz w:val="20"/>
                <w:szCs w:val="20"/>
                <w:lang w:val="en-US"/>
              </w:rPr>
            </w:pPr>
            <w:r w:rsidRPr="000C33C2">
              <w:rPr>
                <w:sz w:val="20"/>
                <w:szCs w:val="20"/>
                <w:lang w:val="en-US"/>
              </w:rPr>
              <w:t>S.1</w:t>
            </w:r>
          </w:p>
        </w:tc>
        <w:tc>
          <w:tcPr>
            <w:tcW w:w="3260" w:type="dxa"/>
          </w:tcPr>
          <w:p w14:paraId="17B2BF48" w14:textId="789AF060" w:rsidR="00422EDB" w:rsidRPr="000C33C2" w:rsidRDefault="00422EDB">
            <w:pPr>
              <w:rPr>
                <w:sz w:val="20"/>
                <w:szCs w:val="20"/>
                <w:lang w:val="en-US"/>
              </w:rPr>
            </w:pPr>
            <w:r w:rsidRPr="000C33C2">
              <w:rPr>
                <w:sz w:val="20"/>
                <w:szCs w:val="20"/>
                <w:lang w:val="en-US"/>
              </w:rPr>
              <w:t>Name</w:t>
            </w:r>
          </w:p>
        </w:tc>
        <w:tc>
          <w:tcPr>
            <w:tcW w:w="5098" w:type="dxa"/>
          </w:tcPr>
          <w:p w14:paraId="3F60F949" w14:textId="0FC5C7C2" w:rsidR="00422EDB" w:rsidRPr="000C33C2" w:rsidRDefault="00821F77">
            <w:pPr>
              <w:rPr>
                <w:sz w:val="20"/>
                <w:szCs w:val="20"/>
                <w:highlight w:val="yellow"/>
                <w:lang w:val="en-US"/>
              </w:rPr>
            </w:pPr>
            <w:r w:rsidRPr="00821F77">
              <w:rPr>
                <w:sz w:val="20"/>
                <w:szCs w:val="20"/>
                <w:lang w:val="en-US"/>
              </w:rPr>
              <w:t xml:space="preserve">Huddlestock GmbH</w:t>
            </w:r>
          </w:p>
        </w:tc>
      </w:tr>
      <w:tr w:rsidR="00422EDB" w:rsidRPr="000C33C2" w14:paraId="0A8ADF34" w14:textId="77777777" w:rsidTr="000C33C2">
        <w:tc>
          <w:tcPr>
            <w:tcW w:w="704" w:type="dxa"/>
          </w:tcPr>
          <w:p w14:paraId="1A189C1A" w14:textId="0F53AF33" w:rsidR="00422EDB" w:rsidRPr="000C33C2" w:rsidRDefault="00422EDB">
            <w:pPr>
              <w:rPr>
                <w:sz w:val="20"/>
                <w:szCs w:val="20"/>
                <w:lang w:val="en-US"/>
              </w:rPr>
            </w:pPr>
            <w:r w:rsidRPr="000C33C2">
              <w:rPr>
                <w:sz w:val="20"/>
                <w:szCs w:val="20"/>
                <w:lang w:val="en-US"/>
              </w:rPr>
              <w:t>S.2</w:t>
            </w:r>
          </w:p>
        </w:tc>
        <w:tc>
          <w:tcPr>
            <w:tcW w:w="3260" w:type="dxa"/>
          </w:tcPr>
          <w:p w14:paraId="3D29417A" w14:textId="4BB1D613" w:rsidR="00422EDB" w:rsidRPr="000C33C2" w:rsidRDefault="00422EDB">
            <w:pPr>
              <w:rPr>
                <w:sz w:val="20"/>
                <w:szCs w:val="20"/>
                <w:lang w:val="en-US"/>
              </w:rPr>
            </w:pPr>
            <w:r w:rsidRPr="000C33C2">
              <w:rPr>
                <w:sz w:val="20"/>
                <w:szCs w:val="20"/>
                <w:lang w:val="en-US"/>
              </w:rPr>
              <w:t>Relevant legal entity identifier</w:t>
            </w:r>
          </w:p>
        </w:tc>
        <w:tc>
          <w:tcPr>
            <w:tcW w:w="5098" w:type="dxa"/>
          </w:tcPr>
          <w:p w14:paraId="72C1A95A" w14:textId="4CB9992A" w:rsidR="00422EDB" w:rsidRPr="000C33C2" w:rsidRDefault="00821F77">
            <w:pPr>
              <w:rPr>
                <w:sz w:val="20"/>
                <w:szCs w:val="20"/>
                <w:highlight w:val="yellow"/>
                <w:lang w:val="en-US"/>
              </w:rPr>
            </w:pPr>
            <w:r w:rsidRPr="00821F77">
              <w:rPr>
                <w:sz w:val="20"/>
                <w:szCs w:val="20"/>
                <w:lang w:val="en-US"/>
              </w:rPr>
              <w:t xml:space="preserve">549300Y6TSD1DUCXD871</w:t>
            </w:r>
          </w:p>
        </w:tc>
      </w:tr>
      <w:tr w:rsidR="00422EDB" w:rsidRPr="000C33C2" w14:paraId="71084C63" w14:textId="77777777" w:rsidTr="000C33C2">
        <w:tc>
          <w:tcPr>
            <w:tcW w:w="704" w:type="dxa"/>
          </w:tcPr>
          <w:p w14:paraId="0CA18AF6" w14:textId="1478AF2B" w:rsidR="00422EDB" w:rsidRPr="000C33C2" w:rsidRDefault="00422EDB">
            <w:pPr>
              <w:rPr>
                <w:sz w:val="20"/>
                <w:szCs w:val="20"/>
                <w:lang w:val="en-US"/>
              </w:rPr>
            </w:pPr>
            <w:r w:rsidRPr="000C33C2">
              <w:rPr>
                <w:sz w:val="20"/>
                <w:szCs w:val="20"/>
                <w:lang w:val="en-US"/>
              </w:rPr>
              <w:t>S.3</w:t>
            </w:r>
          </w:p>
        </w:tc>
        <w:tc>
          <w:tcPr>
            <w:tcW w:w="3260" w:type="dxa"/>
          </w:tcPr>
          <w:p w14:paraId="2C5CB445" w14:textId="05812955" w:rsidR="00422EDB" w:rsidRPr="000C33C2" w:rsidRDefault="00422EDB">
            <w:pPr>
              <w:rPr>
                <w:sz w:val="20"/>
                <w:szCs w:val="20"/>
                <w:lang w:val="en-US"/>
              </w:rPr>
            </w:pPr>
            <w:r w:rsidRPr="000C33C2">
              <w:rPr>
                <w:sz w:val="20"/>
                <w:szCs w:val="20"/>
                <w:lang w:val="en-US"/>
              </w:rPr>
              <w:t xml:space="preserve">Name of the </w:t>
            </w:r>
            <w:proofErr w:type="spellStart"/>
            <w:r w:rsidRPr="000C33C2">
              <w:rPr>
                <w:sz w:val="20"/>
                <w:szCs w:val="20"/>
                <w:lang w:val="en-US"/>
              </w:rPr>
              <w:t>cryptoasset</w:t>
            </w:r>
            <w:proofErr w:type="spellEnd"/>
          </w:p>
        </w:tc>
        <w:tc>
          <w:tcPr>
            <w:tcW w:w="5098" w:type="dxa"/>
          </w:tcPr>
          <w:p w14:paraId="7B7C77AE" w14:textId="2706FDE6" w:rsidR="00422EDB" w:rsidRPr="000C33C2" w:rsidRDefault="00272E04">
            <w:pPr>
              <w:rPr>
                <w:sz w:val="20"/>
                <w:szCs w:val="20"/>
              </w:rPr>
            </w:pPr>
            <w:r>
              <w:rPr>
                <w:sz w:val="20"/>
                <w:szCs w:val="20"/>
              </w:rPr>
              <w:t xml:space="preserve">Litecoin</w:t>
            </w:r>
          </w:p>
        </w:tc>
      </w:tr>
      <w:tr w:rsidR="00422EDB" w:rsidRPr="000C33C2" w14:paraId="6D38AC2A" w14:textId="77777777" w:rsidTr="000C33C2">
        <w:tc>
          <w:tcPr>
            <w:tcW w:w="704" w:type="dxa"/>
          </w:tcPr>
          <w:p w14:paraId="66676DAB" w14:textId="6AEE2558" w:rsidR="00422EDB" w:rsidRPr="000C33C2" w:rsidRDefault="00422EDB">
            <w:pPr>
              <w:rPr>
                <w:sz w:val="20"/>
                <w:szCs w:val="20"/>
                <w:lang w:val="en-US"/>
              </w:rPr>
            </w:pPr>
            <w:r w:rsidRPr="000C33C2">
              <w:rPr>
                <w:sz w:val="20"/>
                <w:szCs w:val="20"/>
                <w:lang w:val="en-US"/>
              </w:rPr>
              <w:t>S.4</w:t>
            </w:r>
          </w:p>
        </w:tc>
        <w:tc>
          <w:tcPr>
            <w:tcW w:w="3260" w:type="dxa"/>
          </w:tcPr>
          <w:p w14:paraId="28E73521" w14:textId="667A0A2E" w:rsidR="00422EDB" w:rsidRPr="000C33C2" w:rsidRDefault="00422EDB">
            <w:pPr>
              <w:rPr>
                <w:sz w:val="20"/>
                <w:szCs w:val="20"/>
                <w:lang w:val="en-US"/>
              </w:rPr>
            </w:pPr>
            <w:r w:rsidRPr="000C33C2">
              <w:rPr>
                <w:sz w:val="20"/>
                <w:szCs w:val="20"/>
                <w:lang w:val="en-US"/>
              </w:rPr>
              <w:t>Consensus Mechanism</w:t>
            </w:r>
          </w:p>
        </w:tc>
        <w:tc>
          <w:tcPr>
            <w:tcW w:w="5098" w:type="dxa"/>
          </w:tcPr>
          <w:p w14:paraId="48EDFE11" w14:textId="27802372" w:rsidR="00422EDB" w:rsidRPr="000C33C2" w:rsidRDefault="00272E04">
            <w:pPr>
              <w:rPr>
                <w:sz w:val="20"/>
                <w:szCs w:val="20"/>
              </w:rPr>
            </w:pPr>
            <w:r>
              <w:rPr>
                <w:sz w:val="20"/>
                <w:szCs w:val="20"/>
              </w:rPr>
              <w:t xml:space="preserve">Proof of Work (PoW)</w:t>
            </w:r>
          </w:p>
        </w:tc>
      </w:tr>
      <w:tr w:rsidR="00422EDB" w:rsidRPr="00272E04" w14:paraId="089008B5" w14:textId="77777777" w:rsidTr="000C33C2">
        <w:tc>
          <w:tcPr>
            <w:tcW w:w="704" w:type="dxa"/>
          </w:tcPr>
          <w:p w14:paraId="3231A6DE" w14:textId="4BA4F99B" w:rsidR="00422EDB" w:rsidRPr="000C33C2" w:rsidRDefault="00422EDB" w:rsidP="00422EDB">
            <w:pPr>
              <w:rPr>
                <w:sz w:val="20"/>
                <w:szCs w:val="20"/>
                <w:lang w:val="en-US"/>
              </w:rPr>
            </w:pPr>
            <w:r w:rsidRPr="000C33C2">
              <w:rPr>
                <w:sz w:val="20"/>
                <w:szCs w:val="20"/>
                <w:lang w:val="en-US"/>
              </w:rPr>
              <w:t>S.5</w:t>
            </w:r>
          </w:p>
        </w:tc>
        <w:tc>
          <w:tcPr>
            <w:tcW w:w="3260" w:type="dxa"/>
          </w:tcPr>
          <w:p w14:paraId="35DB63CC" w14:textId="70C34A6D" w:rsidR="00422EDB" w:rsidRPr="000C33C2" w:rsidRDefault="00422EDB" w:rsidP="00422EDB">
            <w:pPr>
              <w:rPr>
                <w:sz w:val="20"/>
                <w:szCs w:val="20"/>
                <w:lang w:val="en-US"/>
              </w:rPr>
            </w:pPr>
            <w:r w:rsidRPr="000C33C2">
              <w:rPr>
                <w:sz w:val="20"/>
                <w:szCs w:val="20"/>
                <w:lang w:val="en-US"/>
              </w:rPr>
              <w:t>Incentive Mechanisms and Applicable Fees</w:t>
            </w:r>
          </w:p>
        </w:tc>
        <w:tc>
          <w:tcPr>
            <w:tcW w:w="5098" w:type="dxa"/>
          </w:tcPr>
          <w:p w14:paraId="3C905816" w14:textId="5D2D65F7" w:rsidR="00422EDB" w:rsidRPr="000C33C2" w:rsidRDefault="00272E04" w:rsidP="00422EDB">
            <w:pPr>
              <w:rPr>
                <w:sz w:val="20"/>
                <w:szCs w:val="20"/>
                <w:lang w:val="en-US"/>
              </w:rPr>
            </w:pPr>
            <w:r w:rsidRPr="00272E04">
              <w:rPr>
                <w:sz w:val="20"/>
                <w:szCs w:val="20"/>
                <w:lang w:val="en-US"/>
              </w:rPr>
              <w:t xml:space="preserve">A Proof-of-Work (PoW) consensus mechanism incentivizes miners to secure the network by publishing updates to the ledger in the form of blocks, containing newly submitted and verified transactions. Miners compete to solve cryptographic puzzles, and the first to succeed earns newly minted crypto-assets (block reward) and user-paid transaction fees. Misconduct, such as attempting to add invalid blocks or rewrite the history of the ledger, results in wasted computational resources and opportunity costs, creating an economic penalty that discourages dishonest behavior.</w:t>
            </w:r>
          </w:p>
        </w:tc>
      </w:tr>
      <w:tr w:rsidR="00422EDB" w:rsidRPr="000C33C2" w14:paraId="69F01E89" w14:textId="77777777" w:rsidTr="000C33C2">
        <w:tc>
          <w:tcPr>
            <w:tcW w:w="704" w:type="dxa"/>
          </w:tcPr>
          <w:p w14:paraId="18AAAA86" w14:textId="4809B96B" w:rsidR="00422EDB" w:rsidRPr="000C33C2" w:rsidRDefault="00422EDB" w:rsidP="00422EDB">
            <w:pPr>
              <w:rPr>
                <w:sz w:val="20"/>
                <w:szCs w:val="20"/>
                <w:lang w:val="en-US"/>
              </w:rPr>
            </w:pPr>
            <w:r w:rsidRPr="000C33C2">
              <w:rPr>
                <w:sz w:val="20"/>
                <w:szCs w:val="20"/>
                <w:lang w:val="en-US"/>
              </w:rPr>
              <w:t>S.6</w:t>
            </w:r>
          </w:p>
        </w:tc>
        <w:tc>
          <w:tcPr>
            <w:tcW w:w="3260" w:type="dxa"/>
          </w:tcPr>
          <w:p w14:paraId="665C94F1" w14:textId="57EB7488" w:rsidR="00422EDB" w:rsidRPr="000C33C2" w:rsidRDefault="00422EDB" w:rsidP="00422EDB">
            <w:pPr>
              <w:rPr>
                <w:sz w:val="20"/>
                <w:szCs w:val="20"/>
                <w:lang w:val="en-US"/>
              </w:rPr>
            </w:pPr>
            <w:r w:rsidRPr="000C33C2">
              <w:rPr>
                <w:sz w:val="20"/>
                <w:szCs w:val="20"/>
                <w:lang w:val="en-US"/>
              </w:rPr>
              <w:t>Beginning of the period to which the disclosure relates</w:t>
            </w:r>
          </w:p>
        </w:tc>
        <w:tc>
          <w:tcPr>
            <w:tcW w:w="5098" w:type="dxa"/>
          </w:tcPr>
          <w:p w14:paraId="08CADF95" w14:textId="65EA3E10" w:rsidR="00422EDB" w:rsidRPr="000C33C2" w:rsidRDefault="00272E04" w:rsidP="000C33C2">
            <w:pPr>
              <w:rPr>
                <w:sz w:val="20"/>
                <w:szCs w:val="20"/>
                <w:lang w:val="en-US"/>
              </w:rPr>
            </w:pPr>
            <w:r w:rsidRPr="00272E04">
              <w:rPr>
                <w:sz w:val="20"/>
                <w:szCs w:val="20"/>
              </w:rPr>
              <w:t xml:space="preserve">2026-06-17</w:t>
            </w:r>
          </w:p>
        </w:tc>
      </w:tr>
      <w:tr w:rsidR="00422EDB" w:rsidRPr="000C33C2" w14:paraId="3D911C65" w14:textId="77777777" w:rsidTr="000C33C2">
        <w:tc>
          <w:tcPr>
            <w:tcW w:w="704" w:type="dxa"/>
          </w:tcPr>
          <w:p w14:paraId="3BD04B95" w14:textId="02C28EC9" w:rsidR="00422EDB" w:rsidRPr="000C33C2" w:rsidRDefault="00422EDB" w:rsidP="00422EDB">
            <w:pPr>
              <w:rPr>
                <w:sz w:val="20"/>
                <w:szCs w:val="20"/>
                <w:lang w:val="en-US"/>
              </w:rPr>
            </w:pPr>
            <w:r w:rsidRPr="000C33C2">
              <w:rPr>
                <w:sz w:val="20"/>
                <w:szCs w:val="20"/>
                <w:lang w:val="en-US"/>
              </w:rPr>
              <w:t>S.7</w:t>
            </w:r>
          </w:p>
        </w:tc>
        <w:tc>
          <w:tcPr>
            <w:tcW w:w="3260" w:type="dxa"/>
          </w:tcPr>
          <w:p w14:paraId="40F0567D" w14:textId="1B96B989" w:rsidR="00422EDB" w:rsidRPr="000C33C2" w:rsidRDefault="00422EDB" w:rsidP="00422EDB">
            <w:pPr>
              <w:rPr>
                <w:sz w:val="20"/>
                <w:szCs w:val="20"/>
                <w:lang w:val="en-US"/>
              </w:rPr>
            </w:pPr>
            <w:r w:rsidRPr="000C33C2">
              <w:rPr>
                <w:sz w:val="20"/>
                <w:szCs w:val="20"/>
                <w:lang w:val="en-US"/>
              </w:rPr>
              <w:t>End of the period to which the disclosure relates</w:t>
            </w:r>
          </w:p>
        </w:tc>
        <w:tc>
          <w:tcPr>
            <w:tcW w:w="5098" w:type="dxa"/>
          </w:tcPr>
          <w:p w14:paraId="5F32DE90" w14:textId="2909751C" w:rsidR="00422EDB" w:rsidRPr="000C33C2" w:rsidRDefault="00272E04" w:rsidP="00422EDB">
            <w:pPr>
              <w:rPr>
                <w:sz w:val="20"/>
                <w:szCs w:val="20"/>
                <w:lang w:val="en-US"/>
              </w:rPr>
            </w:pPr>
            <w:r w:rsidRPr="00272E04">
              <w:rPr>
                <w:sz w:val="20"/>
                <w:szCs w:val="20"/>
              </w:rPr>
              <w:t xml:space="preserve">2026-06-30</w:t>
            </w:r>
          </w:p>
        </w:tc>
      </w:tr>
      <w:tr w:rsidR="00422EDB" w:rsidRPr="00F14DEC" w14:paraId="301549B6" w14:textId="77777777" w:rsidTr="009A740A">
        <w:tc>
          <w:tcPr>
            <w:tcW w:w="9062" w:type="dxa"/>
            <w:gridSpan w:val="3"/>
          </w:tcPr>
          <w:p w14:paraId="39774816" w14:textId="07DC36A6" w:rsidR="00422EDB" w:rsidRPr="000C33C2" w:rsidRDefault="00422EDB" w:rsidP="00422EDB">
            <w:pPr>
              <w:jc w:val="center"/>
              <w:rPr>
                <w:b/>
                <w:bCs/>
                <w:sz w:val="20"/>
                <w:szCs w:val="20"/>
                <w:lang w:val="en-US"/>
              </w:rPr>
            </w:pPr>
            <w:r w:rsidRPr="000C33C2">
              <w:rPr>
                <w:b/>
                <w:bCs/>
                <w:sz w:val="20"/>
                <w:szCs w:val="20"/>
                <w:lang w:val="en-US"/>
              </w:rPr>
              <w:t>Mandatory key indicator on energy consumption</w:t>
            </w:r>
          </w:p>
        </w:tc>
      </w:tr>
      <w:tr w:rsidR="00422EDB" w:rsidRPr="000C33C2" w14:paraId="6EAD5D7F" w14:textId="77777777" w:rsidTr="000C33C2">
        <w:tc>
          <w:tcPr>
            <w:tcW w:w="704" w:type="dxa"/>
          </w:tcPr>
          <w:p w14:paraId="0D99F9B8" w14:textId="127A9872" w:rsidR="00422EDB" w:rsidRPr="000C33C2" w:rsidRDefault="00422EDB" w:rsidP="00422EDB">
            <w:pPr>
              <w:rPr>
                <w:sz w:val="20"/>
                <w:szCs w:val="20"/>
                <w:lang w:val="en-US"/>
              </w:rPr>
            </w:pPr>
            <w:r w:rsidRPr="000C33C2">
              <w:rPr>
                <w:sz w:val="20"/>
                <w:szCs w:val="20"/>
                <w:lang w:val="en-US"/>
              </w:rPr>
              <w:t>S.8</w:t>
            </w:r>
          </w:p>
        </w:tc>
        <w:tc>
          <w:tcPr>
            <w:tcW w:w="3260" w:type="dxa"/>
          </w:tcPr>
          <w:p w14:paraId="670DAE21" w14:textId="63394D9F" w:rsidR="00422EDB" w:rsidRPr="000C33C2" w:rsidRDefault="00422EDB" w:rsidP="000C33C2">
            <w:pPr>
              <w:rPr>
                <w:sz w:val="20"/>
                <w:szCs w:val="20"/>
                <w:lang w:val="en-US"/>
              </w:rPr>
            </w:pPr>
            <w:r w:rsidRPr="000C33C2">
              <w:rPr>
                <w:sz w:val="20"/>
                <w:szCs w:val="20"/>
                <w:lang w:val="en-US"/>
              </w:rPr>
              <w:t>Energy consumption</w:t>
            </w:r>
            <w:r w:rsidR="000C33C2" w:rsidRPr="000C33C2">
              <w:rPr>
                <w:sz w:val="20"/>
                <w:szCs w:val="20"/>
                <w:lang w:val="en-US"/>
              </w:rPr>
              <w:t xml:space="preserve"> (per year)</w:t>
            </w:r>
            <w:r w:rsidR="006B2F17">
              <w:rPr>
                <w:sz w:val="20"/>
                <w:szCs w:val="20"/>
                <w:lang w:val="en-US"/>
              </w:rPr>
              <w:t xml:space="preserve"> in kWh</w:t>
            </w:r>
          </w:p>
        </w:tc>
        <w:tc>
          <w:tcPr>
            <w:tcW w:w="5098" w:type="dxa"/>
          </w:tcPr>
          <w:p w14:paraId="12DE213A" w14:textId="240521EC" w:rsidR="00422EDB" w:rsidRPr="000C33C2" w:rsidRDefault="00272E04" w:rsidP="006B2F17">
            <w:pPr>
              <w:rPr>
                <w:sz w:val="20"/>
                <w:szCs w:val="20"/>
              </w:rPr>
            </w:pPr>
            <w:r w:rsidRPr="00272E04">
              <w:rPr>
                <w:sz w:val="20"/>
                <w:szCs w:val="20"/>
              </w:rPr>
              <w:t xml:space="preserve">5197294240.30427</w:t>
            </w:r>
          </w:p>
        </w:tc>
      </w:tr>
      <w:tr w:rsidR="00422EDB" w:rsidRPr="000C33C2" w14:paraId="64DB318B" w14:textId="77777777" w:rsidTr="006E7391">
        <w:tc>
          <w:tcPr>
            <w:tcW w:w="9062" w:type="dxa"/>
            <w:gridSpan w:val="3"/>
          </w:tcPr>
          <w:p w14:paraId="3D6EF5DF" w14:textId="4AF87746" w:rsidR="00422EDB" w:rsidRPr="000C33C2" w:rsidRDefault="00422EDB" w:rsidP="00422EDB">
            <w:pPr>
              <w:jc w:val="center"/>
              <w:rPr>
                <w:b/>
                <w:bCs/>
                <w:sz w:val="20"/>
                <w:szCs w:val="20"/>
                <w:lang w:val="en-US"/>
              </w:rPr>
            </w:pPr>
            <w:r w:rsidRPr="000C33C2">
              <w:rPr>
                <w:b/>
                <w:bCs/>
                <w:sz w:val="20"/>
                <w:szCs w:val="20"/>
                <w:lang w:val="en-US"/>
              </w:rPr>
              <w:t>Sources and methodologies</w:t>
            </w:r>
          </w:p>
        </w:tc>
      </w:tr>
      <w:tr w:rsidR="00422EDB" w:rsidRPr="00272E04" w14:paraId="52934830" w14:textId="77777777" w:rsidTr="000C33C2">
        <w:tc>
          <w:tcPr>
            <w:tcW w:w="704" w:type="dxa"/>
          </w:tcPr>
          <w:p w14:paraId="6FB2D837" w14:textId="4F6322E5" w:rsidR="00422EDB" w:rsidRPr="000C33C2" w:rsidRDefault="00422EDB" w:rsidP="00422EDB">
            <w:pPr>
              <w:rPr>
                <w:sz w:val="20"/>
                <w:szCs w:val="20"/>
                <w:lang w:val="en-US"/>
              </w:rPr>
            </w:pPr>
            <w:r w:rsidRPr="000C33C2">
              <w:rPr>
                <w:sz w:val="20"/>
                <w:szCs w:val="20"/>
                <w:lang w:val="en-US"/>
              </w:rPr>
              <w:t>S.9</w:t>
            </w:r>
          </w:p>
        </w:tc>
        <w:tc>
          <w:tcPr>
            <w:tcW w:w="3260" w:type="dxa"/>
          </w:tcPr>
          <w:p w14:paraId="3B1DB668" w14:textId="505ACA4B" w:rsidR="00422EDB" w:rsidRPr="000C33C2" w:rsidRDefault="00422EDB" w:rsidP="00422EDB">
            <w:pPr>
              <w:rPr>
                <w:sz w:val="20"/>
                <w:szCs w:val="20"/>
                <w:lang w:val="en-US"/>
              </w:rPr>
            </w:pPr>
            <w:r w:rsidRPr="000C33C2">
              <w:rPr>
                <w:sz w:val="20"/>
                <w:szCs w:val="20"/>
                <w:lang w:val="en-US"/>
              </w:rPr>
              <w:t>Energy consumption sources and methodologies</w:t>
            </w:r>
          </w:p>
        </w:tc>
        <w:tc>
          <w:tcPr>
            <w:tcW w:w="5098" w:type="dxa"/>
          </w:tcPr>
          <w:p w14:paraId="7DEB9A81" w14:textId="4E6A6953" w:rsidR="00422EDB" w:rsidRPr="000C33C2" w:rsidRDefault="00272E04" w:rsidP="00422EDB">
            <w:pPr>
              <w:rPr>
                <w:sz w:val="20"/>
                <w:szCs w:val="20"/>
                <w:lang w:val="en-US"/>
              </w:rPr>
            </w:pPr>
            <w:r w:rsidRPr="00272E04">
              <w:rPr>
                <w:sz w:val="20"/>
                <w:szCs w:val="20"/>
                <w:lang w:val="en-US"/>
              </w:rPr>
              <w:t xml:space="preserve"/>
            </w:r>
            <w:r>
              <w:t xml:space="preserve">Data provided by CCRI; all indicators are based on a set of assumptions and thus represent estimates; methodology description and overview of input data, external datasets and underlying assumptions available at: </w:t>
            </w:r>
            <w:hyperlink r:id="rId10">
              <w:r>
                <w:rPr>
                  <w:rStyle w:val="Hyperlink"/>
                </w:rPr>
                <w:t xml:space="preserve">carbon-ratings.com/dl/whitepaper-mica-methods-2024</w:t>
              </w:r>
            </w:hyperlink>
            <w:r>
              <w:t xml:space="preserve"> and </w:t>
            </w:r>
            <w:hyperlink r:id="rId11">
              <w:r>
                <w:rPr>
                  <w:rStyle w:val="Hyperlink"/>
                </w:rPr>
                <w:t xml:space="preserve">docs.mica.api.carbon-ratings.com</w:t>
              </w:r>
            </w:hyperlink>
            <w:r>
              <w:t xml:space="preserve">. We do not account for any offsetting of energy consumption or other market-based mechanism as of today.</w:t>
            </w:r>
            <w:r>
              <w:t xml:space="preserve"/>
            </w:r>
          </w:p>
        </w:tc>
      </w:tr>
      <w:tr w:rsidR="00422EDB" w:rsidRPr="00F14DEC" w14:paraId="7F70EF13" w14:textId="77777777" w:rsidTr="00514200">
        <w:tc>
          <w:tcPr>
            <w:tcW w:w="9062" w:type="dxa"/>
            <w:gridSpan w:val="3"/>
          </w:tcPr>
          <w:p w14:paraId="5693CECA" w14:textId="086E12B8" w:rsidR="00422EDB" w:rsidRPr="000C33C2" w:rsidRDefault="00422EDB" w:rsidP="00422EDB">
            <w:pPr>
              <w:jc w:val="center"/>
              <w:rPr>
                <w:b/>
                <w:bCs/>
                <w:sz w:val="20"/>
                <w:szCs w:val="20"/>
                <w:lang w:val="en-US"/>
              </w:rPr>
            </w:pPr>
            <w:r w:rsidRPr="000C33C2">
              <w:rPr>
                <w:b/>
                <w:bCs/>
                <w:sz w:val="20"/>
                <w:szCs w:val="20"/>
                <w:lang w:val="en-US"/>
              </w:rPr>
              <w:t>Supplementary key indicators on energy and GHG emissions</w:t>
            </w:r>
          </w:p>
        </w:tc>
      </w:tr>
      <w:tr w:rsidR="00422EDB" w:rsidRPr="000C33C2" w14:paraId="1A56657A" w14:textId="77777777" w:rsidTr="000C33C2">
        <w:tc>
          <w:tcPr>
            <w:tcW w:w="704" w:type="dxa"/>
          </w:tcPr>
          <w:p w14:paraId="38D42942" w14:textId="417E57E6" w:rsidR="00422EDB" w:rsidRPr="000C33C2" w:rsidRDefault="00422EDB" w:rsidP="00422EDB">
            <w:pPr>
              <w:rPr>
                <w:sz w:val="20"/>
                <w:szCs w:val="20"/>
                <w:lang w:val="en-US"/>
              </w:rPr>
            </w:pPr>
            <w:r w:rsidRPr="000C33C2">
              <w:rPr>
                <w:sz w:val="20"/>
                <w:szCs w:val="20"/>
                <w:lang w:val="en-US"/>
              </w:rPr>
              <w:t>S.10</w:t>
            </w:r>
          </w:p>
        </w:tc>
        <w:tc>
          <w:tcPr>
            <w:tcW w:w="3260" w:type="dxa"/>
          </w:tcPr>
          <w:p w14:paraId="3E3FAA02" w14:textId="29945B18" w:rsidR="00422EDB" w:rsidRPr="000C33C2" w:rsidRDefault="00422EDB" w:rsidP="000C33C2">
            <w:pPr>
              <w:rPr>
                <w:sz w:val="20"/>
                <w:szCs w:val="20"/>
                <w:lang w:val="en-US"/>
              </w:rPr>
            </w:pPr>
            <w:r w:rsidRPr="000C33C2">
              <w:rPr>
                <w:sz w:val="20"/>
                <w:szCs w:val="20"/>
                <w:lang w:val="en-US"/>
              </w:rPr>
              <w:t>Renewable energy consumption</w:t>
            </w:r>
            <w:r w:rsidR="000C33C2" w:rsidRPr="000C33C2">
              <w:rPr>
                <w:sz w:val="20"/>
                <w:szCs w:val="20"/>
                <w:lang w:val="en-US"/>
              </w:rPr>
              <w:t xml:space="preserve"> (share of energy from renewable generation resources)</w:t>
            </w:r>
            <w:r w:rsidR="006B2F17">
              <w:rPr>
                <w:sz w:val="20"/>
                <w:szCs w:val="20"/>
                <w:lang w:val="en-US"/>
              </w:rPr>
              <w:t xml:space="preserve"> in %</w:t>
            </w:r>
          </w:p>
        </w:tc>
        <w:tc>
          <w:tcPr>
            <w:tcW w:w="5098" w:type="dxa"/>
          </w:tcPr>
          <w:p w14:paraId="2B69F12F" w14:textId="3970C019" w:rsidR="00422EDB" w:rsidRPr="000C33C2" w:rsidRDefault="00272E04" w:rsidP="000C33C2">
            <w:pPr>
              <w:rPr>
                <w:sz w:val="20"/>
                <w:szCs w:val="20"/>
                <w:lang w:val="en-US"/>
              </w:rPr>
            </w:pPr>
            <w:r w:rsidRPr="00272E04">
              <w:rPr>
                <w:sz w:val="20"/>
                <w:szCs w:val="20"/>
                <w:lang w:val="en-US"/>
              </w:rPr>
              <w:t xml:space="preserve">34.912904615</w:t>
            </w:r>
          </w:p>
        </w:tc>
      </w:tr>
      <w:tr w:rsidR="00422EDB" w:rsidRPr="000C33C2" w14:paraId="79A571BB" w14:textId="77777777" w:rsidTr="000C33C2">
        <w:tc>
          <w:tcPr>
            <w:tcW w:w="704" w:type="dxa"/>
          </w:tcPr>
          <w:p w14:paraId="3EB3AD5B" w14:textId="53D01FF5" w:rsidR="00422EDB" w:rsidRPr="000C33C2" w:rsidRDefault="00422EDB" w:rsidP="00422EDB">
            <w:pPr>
              <w:rPr>
                <w:sz w:val="20"/>
                <w:szCs w:val="20"/>
                <w:lang w:val="en-US"/>
              </w:rPr>
            </w:pPr>
            <w:r w:rsidRPr="000C33C2">
              <w:rPr>
                <w:sz w:val="20"/>
                <w:szCs w:val="20"/>
                <w:lang w:val="en-US"/>
              </w:rPr>
              <w:t>S.11</w:t>
            </w:r>
          </w:p>
        </w:tc>
        <w:tc>
          <w:tcPr>
            <w:tcW w:w="3260" w:type="dxa"/>
          </w:tcPr>
          <w:p w14:paraId="0E0E4A10" w14:textId="212B1687" w:rsidR="00422EDB" w:rsidRPr="000C33C2" w:rsidRDefault="00422EDB" w:rsidP="00422EDB">
            <w:pPr>
              <w:rPr>
                <w:sz w:val="20"/>
                <w:szCs w:val="20"/>
                <w:lang w:val="en-US"/>
              </w:rPr>
            </w:pPr>
            <w:r w:rsidRPr="000C33C2">
              <w:rPr>
                <w:sz w:val="20"/>
                <w:szCs w:val="20"/>
                <w:lang w:val="en-US"/>
              </w:rPr>
              <w:t>Energy intensity</w:t>
            </w:r>
            <w:r w:rsidR="000C33C2" w:rsidRPr="000C33C2">
              <w:rPr>
                <w:sz w:val="20"/>
                <w:szCs w:val="20"/>
                <w:lang w:val="en-US"/>
              </w:rPr>
              <w:br/>
              <w:t>(energy used per validated transaction)</w:t>
            </w:r>
            <w:r w:rsidR="006B2F17">
              <w:rPr>
                <w:sz w:val="20"/>
                <w:szCs w:val="20"/>
                <w:lang w:val="en-US"/>
              </w:rPr>
              <w:t xml:space="preserve"> in kWh</w:t>
            </w:r>
          </w:p>
        </w:tc>
        <w:tc>
          <w:tcPr>
            <w:tcW w:w="5098" w:type="dxa"/>
          </w:tcPr>
          <w:p w14:paraId="553BFEA9" w14:textId="758840A2" w:rsidR="00422EDB" w:rsidRPr="000C33C2" w:rsidRDefault="00272E04" w:rsidP="006B2F17">
            <w:pPr>
              <w:rPr>
                <w:sz w:val="20"/>
                <w:szCs w:val="20"/>
                <w:lang w:val="en-US"/>
              </w:rPr>
            </w:pPr>
            <w:r w:rsidRPr="00272E04">
              <w:rPr>
                <w:sz w:val="20"/>
                <w:szCs w:val="20"/>
                <w:lang w:val="en-US"/>
              </w:rPr>
              <w:t xml:space="preserve">0.18946</w:t>
            </w:r>
          </w:p>
        </w:tc>
      </w:tr>
      <w:tr w:rsidR="00422EDB" w:rsidRPr="000C33C2" w14:paraId="525FD4C3" w14:textId="77777777" w:rsidTr="000C33C2">
        <w:tc>
          <w:tcPr>
            <w:tcW w:w="704" w:type="dxa"/>
          </w:tcPr>
          <w:p w14:paraId="7F408714" w14:textId="607CAF82" w:rsidR="00422EDB" w:rsidRPr="000C33C2" w:rsidRDefault="00422EDB" w:rsidP="00422EDB">
            <w:pPr>
              <w:rPr>
                <w:sz w:val="20"/>
                <w:szCs w:val="20"/>
                <w:lang w:val="en-US"/>
              </w:rPr>
            </w:pPr>
            <w:r w:rsidRPr="000C33C2">
              <w:rPr>
                <w:sz w:val="20"/>
                <w:szCs w:val="20"/>
                <w:lang w:val="en-US"/>
              </w:rPr>
              <w:t>S.12</w:t>
            </w:r>
          </w:p>
        </w:tc>
        <w:tc>
          <w:tcPr>
            <w:tcW w:w="3260" w:type="dxa"/>
          </w:tcPr>
          <w:p w14:paraId="698B19D4" w14:textId="597BC790" w:rsidR="00422EDB" w:rsidRPr="000C33C2" w:rsidRDefault="00422EDB" w:rsidP="00422EDB">
            <w:pPr>
              <w:rPr>
                <w:sz w:val="20"/>
                <w:szCs w:val="20"/>
                <w:lang w:val="en-US"/>
              </w:rPr>
            </w:pPr>
            <w:r w:rsidRPr="000C33C2">
              <w:rPr>
                <w:sz w:val="20"/>
                <w:szCs w:val="20"/>
                <w:lang w:val="en-US"/>
              </w:rPr>
              <w:t>Scope 1 DLT GHG emissions – Controlled</w:t>
            </w:r>
            <w:r w:rsidR="000C33C2" w:rsidRPr="000C33C2">
              <w:rPr>
                <w:sz w:val="20"/>
                <w:szCs w:val="20"/>
                <w:lang w:val="en-US"/>
              </w:rPr>
              <w:t xml:space="preserve"> (per year)</w:t>
            </w:r>
            <w:r w:rsidR="006B2F17">
              <w:rPr>
                <w:sz w:val="20"/>
                <w:szCs w:val="20"/>
                <w:lang w:val="en-US"/>
              </w:rPr>
              <w:t xml:space="preserve"> in </w:t>
            </w:r>
            <w:r w:rsidR="006B2F17" w:rsidRPr="000C33C2">
              <w:rPr>
                <w:sz w:val="20"/>
                <w:szCs w:val="20"/>
                <w:lang w:val="en-US"/>
              </w:rPr>
              <w:t>t</w:t>
            </w:r>
            <w:r w:rsidR="006B2F17">
              <w:rPr>
                <w:sz w:val="20"/>
                <w:szCs w:val="20"/>
                <w:lang w:val="en-US"/>
              </w:rPr>
              <w:t xml:space="preserve"> </w:t>
            </w:r>
            <w:r w:rsidR="006B2F17" w:rsidRPr="000C33C2">
              <w:rPr>
                <w:sz w:val="20"/>
                <w:szCs w:val="20"/>
                <w:lang w:val="en-US"/>
              </w:rPr>
              <w:t>CO</w:t>
            </w:r>
            <w:r w:rsidR="006B2F17" w:rsidRPr="000C33C2">
              <w:rPr>
                <w:sz w:val="20"/>
                <w:szCs w:val="20"/>
                <w:vertAlign w:val="subscript"/>
                <w:lang w:val="en-US"/>
              </w:rPr>
              <w:t>2</w:t>
            </w:r>
            <w:r w:rsidR="006B2F17" w:rsidRPr="000C33C2">
              <w:rPr>
                <w:sz w:val="20"/>
                <w:szCs w:val="20"/>
                <w:lang w:val="en-US"/>
              </w:rPr>
              <w:t>eq</w:t>
            </w:r>
          </w:p>
        </w:tc>
        <w:tc>
          <w:tcPr>
            <w:tcW w:w="5098" w:type="dxa"/>
          </w:tcPr>
          <w:p w14:paraId="186AC04C" w14:textId="190109B0" w:rsidR="00422EDB" w:rsidRPr="000C33C2" w:rsidRDefault="00272E04" w:rsidP="006B2F17">
            <w:pPr>
              <w:rPr>
                <w:sz w:val="20"/>
                <w:szCs w:val="20"/>
                <w:lang w:val="en-US"/>
              </w:rPr>
            </w:pPr>
            <w:r w:rsidRPr="00272E04">
              <w:rPr>
                <w:sz w:val="20"/>
                <w:szCs w:val="20"/>
                <w:lang w:val="en-US"/>
              </w:rPr>
              <w:t xml:space="preserve">0</w:t>
            </w:r>
            <w:r w:rsidR="008C64CB" w:rsidRPr="000C33C2">
              <w:rPr>
                <w:sz w:val="20"/>
                <w:szCs w:val="20"/>
                <w:lang w:val="en-US"/>
              </w:rPr>
              <w:t xml:space="preserve"> </w:t>
            </w:r>
          </w:p>
        </w:tc>
      </w:tr>
      <w:tr w:rsidR="00422EDB" w:rsidRPr="000C33C2" w14:paraId="2946AB99" w14:textId="77777777" w:rsidTr="000C33C2">
        <w:tc>
          <w:tcPr>
            <w:tcW w:w="704" w:type="dxa"/>
          </w:tcPr>
          <w:p w14:paraId="2062AD39" w14:textId="5927226C" w:rsidR="00422EDB" w:rsidRPr="000C33C2" w:rsidRDefault="00422EDB" w:rsidP="00422EDB">
            <w:pPr>
              <w:rPr>
                <w:sz w:val="20"/>
                <w:szCs w:val="20"/>
                <w:lang w:val="en-US"/>
              </w:rPr>
            </w:pPr>
            <w:r w:rsidRPr="000C33C2">
              <w:rPr>
                <w:sz w:val="20"/>
                <w:szCs w:val="20"/>
                <w:lang w:val="en-US"/>
              </w:rPr>
              <w:t>S.13</w:t>
            </w:r>
          </w:p>
        </w:tc>
        <w:tc>
          <w:tcPr>
            <w:tcW w:w="3260" w:type="dxa"/>
          </w:tcPr>
          <w:p w14:paraId="049C2247" w14:textId="7CA3CCC8" w:rsidR="00422EDB" w:rsidRPr="000C33C2" w:rsidRDefault="00422EDB" w:rsidP="00422EDB">
            <w:pPr>
              <w:rPr>
                <w:sz w:val="20"/>
                <w:szCs w:val="20"/>
                <w:lang w:val="en-US"/>
              </w:rPr>
            </w:pPr>
            <w:r w:rsidRPr="000C33C2">
              <w:rPr>
                <w:sz w:val="20"/>
                <w:szCs w:val="20"/>
                <w:lang w:val="en-US"/>
              </w:rPr>
              <w:t>Scope 2 DLT GHG emissions – Purchased</w:t>
            </w:r>
            <w:r w:rsidR="000C33C2" w:rsidRPr="000C33C2">
              <w:rPr>
                <w:sz w:val="20"/>
                <w:szCs w:val="20"/>
                <w:lang w:val="en-US"/>
              </w:rPr>
              <w:t xml:space="preserve"> (per year)</w:t>
            </w:r>
            <w:r w:rsidR="006B2F17">
              <w:rPr>
                <w:sz w:val="20"/>
                <w:szCs w:val="20"/>
                <w:lang w:val="en-US"/>
              </w:rPr>
              <w:t xml:space="preserve"> in </w:t>
            </w:r>
            <w:r w:rsidR="006B2F17" w:rsidRPr="000C33C2">
              <w:rPr>
                <w:sz w:val="20"/>
                <w:szCs w:val="20"/>
                <w:lang w:val="en-US"/>
              </w:rPr>
              <w:t>t</w:t>
            </w:r>
            <w:r w:rsidR="006B2F17">
              <w:rPr>
                <w:sz w:val="20"/>
                <w:szCs w:val="20"/>
                <w:lang w:val="en-US"/>
              </w:rPr>
              <w:t xml:space="preserve"> </w:t>
            </w:r>
            <w:r w:rsidR="006B2F17" w:rsidRPr="000C33C2">
              <w:rPr>
                <w:sz w:val="20"/>
                <w:szCs w:val="20"/>
                <w:lang w:val="en-US"/>
              </w:rPr>
              <w:t>CO</w:t>
            </w:r>
            <w:r w:rsidR="006B2F17" w:rsidRPr="000C33C2">
              <w:rPr>
                <w:sz w:val="20"/>
                <w:szCs w:val="20"/>
                <w:vertAlign w:val="subscript"/>
                <w:lang w:val="en-US"/>
              </w:rPr>
              <w:t>2</w:t>
            </w:r>
            <w:r w:rsidR="006B2F17" w:rsidRPr="000C33C2">
              <w:rPr>
                <w:sz w:val="20"/>
                <w:szCs w:val="20"/>
                <w:lang w:val="en-US"/>
              </w:rPr>
              <w:t>eq</w:t>
            </w:r>
          </w:p>
        </w:tc>
        <w:tc>
          <w:tcPr>
            <w:tcW w:w="5098" w:type="dxa"/>
          </w:tcPr>
          <w:p w14:paraId="74DBA49A" w14:textId="684633AF" w:rsidR="00422EDB" w:rsidRPr="000C33C2" w:rsidRDefault="00272E04" w:rsidP="006B2F17">
            <w:pPr>
              <w:rPr>
                <w:sz w:val="20"/>
                <w:szCs w:val="20"/>
                <w:lang w:val="en-US"/>
              </w:rPr>
            </w:pPr>
            <w:r w:rsidRPr="00272E04">
              <w:rPr>
                <w:sz w:val="20"/>
                <w:szCs w:val="20"/>
                <w:lang w:val="en-US"/>
              </w:rPr>
              <w:t xml:space="preserve">2045496.00677</w:t>
            </w:r>
          </w:p>
        </w:tc>
      </w:tr>
      <w:tr w:rsidR="00422EDB" w:rsidRPr="000C33C2" w14:paraId="2ED1D56B" w14:textId="77777777" w:rsidTr="000C33C2">
        <w:tc>
          <w:tcPr>
            <w:tcW w:w="704" w:type="dxa"/>
          </w:tcPr>
          <w:p w14:paraId="1C9DE2FA" w14:textId="16FF1842" w:rsidR="00422EDB" w:rsidRPr="000C33C2" w:rsidRDefault="00422EDB" w:rsidP="00422EDB">
            <w:pPr>
              <w:rPr>
                <w:sz w:val="20"/>
                <w:szCs w:val="20"/>
                <w:lang w:val="en-US"/>
              </w:rPr>
            </w:pPr>
            <w:r w:rsidRPr="000C33C2">
              <w:rPr>
                <w:sz w:val="20"/>
                <w:szCs w:val="20"/>
                <w:lang w:val="en-US"/>
              </w:rPr>
              <w:t>S.14</w:t>
            </w:r>
          </w:p>
        </w:tc>
        <w:tc>
          <w:tcPr>
            <w:tcW w:w="3260" w:type="dxa"/>
          </w:tcPr>
          <w:p w14:paraId="7019451E" w14:textId="553C16D9" w:rsidR="00422EDB" w:rsidRPr="000C33C2" w:rsidRDefault="00422EDB" w:rsidP="00422EDB">
            <w:pPr>
              <w:rPr>
                <w:sz w:val="20"/>
                <w:szCs w:val="20"/>
                <w:lang w:val="en-US"/>
              </w:rPr>
            </w:pPr>
            <w:r w:rsidRPr="000C33C2">
              <w:rPr>
                <w:sz w:val="20"/>
                <w:szCs w:val="20"/>
                <w:lang w:val="en-US"/>
              </w:rPr>
              <w:t>GHG intensity</w:t>
            </w:r>
            <w:r w:rsidR="000C33C2" w:rsidRPr="000C33C2">
              <w:rPr>
                <w:sz w:val="20"/>
                <w:szCs w:val="20"/>
                <w:lang w:val="en-US"/>
              </w:rPr>
              <w:br/>
              <w:t>(emissions per validated transaction)</w:t>
            </w:r>
            <w:r w:rsidR="006B2F17">
              <w:rPr>
                <w:sz w:val="20"/>
                <w:szCs w:val="20"/>
                <w:lang w:val="en-US"/>
              </w:rPr>
              <w:t xml:space="preserve"> in kg </w:t>
            </w:r>
            <w:r w:rsidR="006B2F17" w:rsidRPr="000C33C2">
              <w:rPr>
                <w:sz w:val="20"/>
                <w:szCs w:val="20"/>
                <w:lang w:val="en-US"/>
              </w:rPr>
              <w:t>CO</w:t>
            </w:r>
            <w:r w:rsidR="006B2F17" w:rsidRPr="000C33C2">
              <w:rPr>
                <w:sz w:val="20"/>
                <w:szCs w:val="20"/>
                <w:vertAlign w:val="subscript"/>
                <w:lang w:val="en-US"/>
              </w:rPr>
              <w:t>2</w:t>
            </w:r>
            <w:r w:rsidR="006B2F17" w:rsidRPr="000C33C2">
              <w:rPr>
                <w:sz w:val="20"/>
                <w:szCs w:val="20"/>
                <w:lang w:val="en-US"/>
              </w:rPr>
              <w:t>eq</w:t>
            </w:r>
          </w:p>
        </w:tc>
        <w:tc>
          <w:tcPr>
            <w:tcW w:w="5098" w:type="dxa"/>
          </w:tcPr>
          <w:p w14:paraId="147D87DD" w14:textId="3F4E3793" w:rsidR="00422EDB" w:rsidRPr="000C33C2" w:rsidRDefault="00272E04" w:rsidP="006B2F17">
            <w:pPr>
              <w:rPr>
                <w:sz w:val="20"/>
                <w:szCs w:val="20"/>
                <w:lang w:val="en-US"/>
              </w:rPr>
            </w:pPr>
            <w:r w:rsidRPr="00272E04">
              <w:rPr>
                <w:sz w:val="20"/>
                <w:szCs w:val="20"/>
                <w:lang w:val="en-US"/>
              </w:rPr>
              <w:t xml:space="preserve">0.07457</w:t>
            </w:r>
          </w:p>
        </w:tc>
      </w:tr>
      <w:tr w:rsidR="00422EDB" w:rsidRPr="000C33C2" w14:paraId="6719AC76" w14:textId="77777777" w:rsidTr="00787BD7">
        <w:tc>
          <w:tcPr>
            <w:tcW w:w="9062" w:type="dxa"/>
            <w:gridSpan w:val="3"/>
          </w:tcPr>
          <w:p w14:paraId="2E9A0E0C" w14:textId="7A8CE375" w:rsidR="00422EDB" w:rsidRPr="000C33C2" w:rsidRDefault="00422EDB" w:rsidP="00422EDB">
            <w:pPr>
              <w:jc w:val="center"/>
              <w:rPr>
                <w:b/>
                <w:bCs/>
                <w:sz w:val="20"/>
                <w:szCs w:val="20"/>
                <w:lang w:val="en-US"/>
              </w:rPr>
            </w:pPr>
            <w:r w:rsidRPr="000C33C2">
              <w:rPr>
                <w:b/>
                <w:bCs/>
                <w:sz w:val="20"/>
                <w:szCs w:val="20"/>
                <w:lang w:val="en-US"/>
              </w:rPr>
              <w:t>Sources and methodologies</w:t>
            </w:r>
          </w:p>
        </w:tc>
      </w:tr>
      <w:tr w:rsidR="00422EDB" w:rsidRPr="00272E04" w14:paraId="54C75AF1" w14:textId="77777777" w:rsidTr="000C33C2">
        <w:tc>
          <w:tcPr>
            <w:tcW w:w="704" w:type="dxa"/>
          </w:tcPr>
          <w:p w14:paraId="01C98CBD" w14:textId="2305D1BE" w:rsidR="00422EDB" w:rsidRPr="000C33C2" w:rsidRDefault="00422EDB" w:rsidP="00422EDB">
            <w:pPr>
              <w:rPr>
                <w:sz w:val="20"/>
                <w:szCs w:val="20"/>
                <w:lang w:val="en-US"/>
              </w:rPr>
            </w:pPr>
            <w:r w:rsidRPr="000C33C2">
              <w:rPr>
                <w:sz w:val="20"/>
                <w:szCs w:val="20"/>
                <w:lang w:val="en-US"/>
              </w:rPr>
              <w:t>S.15</w:t>
            </w:r>
          </w:p>
        </w:tc>
        <w:tc>
          <w:tcPr>
            <w:tcW w:w="3260" w:type="dxa"/>
          </w:tcPr>
          <w:p w14:paraId="2C28ECB4" w14:textId="13AD925B" w:rsidR="00422EDB" w:rsidRPr="000C33C2" w:rsidRDefault="00422EDB" w:rsidP="00422EDB">
            <w:pPr>
              <w:rPr>
                <w:sz w:val="20"/>
                <w:szCs w:val="20"/>
                <w:lang w:val="en-US"/>
              </w:rPr>
            </w:pPr>
            <w:r w:rsidRPr="000C33C2">
              <w:rPr>
                <w:sz w:val="20"/>
                <w:szCs w:val="20"/>
                <w:lang w:val="en-US"/>
              </w:rPr>
              <w:t>Key energy sources and methodologies</w:t>
            </w:r>
          </w:p>
        </w:tc>
        <w:tc>
          <w:tcPr>
            <w:tcW w:w="5098" w:type="dxa"/>
          </w:tcPr>
          <w:p w14:paraId="390D7828" w14:textId="2122C18D" w:rsidR="00422EDB" w:rsidRPr="000C33C2" w:rsidRDefault="00272E04" w:rsidP="00422EDB">
            <w:pPr>
              <w:rPr>
                <w:sz w:val="20"/>
                <w:szCs w:val="20"/>
                <w:lang w:val="en-US"/>
              </w:rPr>
            </w:pPr>
            <w:r w:rsidRPr="00272E04">
              <w:rPr>
                <w:sz w:val="20"/>
                <w:szCs w:val="20"/>
                <w:lang w:val="en-US"/>
              </w:rPr>
              <w:t xml:space="preserve"/>
            </w:r>
            <w:r>
              <w:t xml:space="preserve">Data provided by CCRI; all indicators are based on a set of assumptions and thus represent estimates; methodology description and overview of input data, external datasets and underlying assumptions available at: </w:t>
            </w:r>
            <w:hyperlink r:id="rId10">
              <w:r>
                <w:rPr>
                  <w:rStyle w:val="Hyperlink"/>
                </w:rPr>
                <w:t xml:space="preserve">carbon-ratings.com/dl/whitepaper-mica-methods-2024</w:t>
              </w:r>
            </w:hyperlink>
            <w:r>
              <w:t xml:space="preserve"> and </w:t>
            </w:r>
            <w:hyperlink r:id="rId11">
              <w:r>
                <w:rPr>
                  <w:rStyle w:val="Hyperlink"/>
                </w:rPr>
                <w:t xml:space="preserve">docs.mica.api.carbon-ratings.com</w:t>
              </w:r>
            </w:hyperlink>
            <w:r>
              <w:t xml:space="preserve">. We do not account for any offsetting of energy consumption or other market-based mechanism as of today.</w:t>
            </w:r>
            <w:r>
              <w:t xml:space="preserve"/>
            </w:r>
          </w:p>
        </w:tc>
      </w:tr>
      <w:tr w:rsidR="00422EDB" w:rsidRPr="00272E04" w14:paraId="6B975D8F" w14:textId="77777777" w:rsidTr="000C33C2">
        <w:tc>
          <w:tcPr>
            <w:tcW w:w="704" w:type="dxa"/>
          </w:tcPr>
          <w:p w14:paraId="510F8998" w14:textId="453F673F" w:rsidR="00422EDB" w:rsidRPr="000C33C2" w:rsidRDefault="00422EDB" w:rsidP="00422EDB">
            <w:pPr>
              <w:rPr>
                <w:sz w:val="20"/>
                <w:szCs w:val="20"/>
                <w:lang w:val="en-US"/>
              </w:rPr>
            </w:pPr>
            <w:r w:rsidRPr="000C33C2">
              <w:rPr>
                <w:sz w:val="20"/>
                <w:szCs w:val="20"/>
                <w:lang w:val="en-US"/>
              </w:rPr>
              <w:t>S.16</w:t>
            </w:r>
          </w:p>
        </w:tc>
        <w:tc>
          <w:tcPr>
            <w:tcW w:w="3260" w:type="dxa"/>
          </w:tcPr>
          <w:p w14:paraId="5C1E6B9A" w14:textId="5A3A4F18" w:rsidR="00422EDB" w:rsidRPr="000C33C2" w:rsidRDefault="00422EDB" w:rsidP="00422EDB">
            <w:pPr>
              <w:rPr>
                <w:sz w:val="20"/>
                <w:szCs w:val="20"/>
                <w:lang w:val="en-US"/>
              </w:rPr>
            </w:pPr>
            <w:r w:rsidRPr="000C33C2">
              <w:rPr>
                <w:sz w:val="20"/>
                <w:szCs w:val="20"/>
                <w:lang w:val="en-US"/>
              </w:rPr>
              <w:t>Key GHG sources and methodologies</w:t>
            </w:r>
          </w:p>
        </w:tc>
        <w:tc>
          <w:tcPr>
            <w:tcW w:w="5098" w:type="dxa"/>
          </w:tcPr>
          <w:p w14:paraId="1612D58E" w14:textId="18893A54" w:rsidR="00422EDB" w:rsidRPr="000C33C2" w:rsidRDefault="00272E04" w:rsidP="00422EDB">
            <w:pPr>
              <w:rPr>
                <w:sz w:val="20"/>
                <w:szCs w:val="20"/>
                <w:lang w:val="en-US"/>
              </w:rPr>
            </w:pPr>
            <w:r w:rsidRPr="00272E04">
              <w:rPr>
                <w:sz w:val="20"/>
                <w:szCs w:val="20"/>
                <w:lang w:val="en-US"/>
              </w:rPr>
              <w:t xml:space="preserve"/>
            </w:r>
            <w:r>
              <w:t xml:space="preserve">Data provided by CCRI; all indicators are based on a set of assumptions and thus represent estimates; methodology description and overview of input data, external datasets and underlying assumptions available at: </w:t>
            </w:r>
            <w:hyperlink r:id="rId10">
              <w:r>
                <w:rPr>
                  <w:rStyle w:val="Hyperlink"/>
                </w:rPr>
                <w:t xml:space="preserve">carbon-ratings.com/dl/whitepaper-mica-methods-2024</w:t>
              </w:r>
            </w:hyperlink>
            <w:r>
              <w:t xml:space="preserve"> and </w:t>
            </w:r>
            <w:hyperlink r:id="rId11">
              <w:r>
                <w:rPr>
                  <w:rStyle w:val="Hyperlink"/>
                </w:rPr>
                <w:t xml:space="preserve">docs.mica.api.carbon-ratings.com</w:t>
              </w:r>
            </w:hyperlink>
            <w:r>
              <w:t xml:space="preserve">. We do not account for any offsetting of energy consumption or other market-based mechanism as of today.</w:t>
            </w:r>
            <w:r>
              <w:t xml:space="preserve"/>
            </w:r>
          </w:p>
        </w:tc>
      </w:tr>
    </w:tbl>
    <w:p w14:paraId="3F31C714" w14:textId="77777777" w:rsidR="00D13235" w:rsidRDefault="00D13235">
      <w:pPr>
        <w:rPr>
          <w:sz w:val="20"/>
          <w:szCs w:val="20"/>
          <w:lang w:val="en-US"/>
        </w:rPr>
      </w:pPr>
    </w:p>
    <w:p w14:paraId="29B8B06F" w14:textId="2F97191F" w:rsidR="00F14DEC" w:rsidRPr="00F14DEC" w:rsidRDefault="00F14DEC">
      <w:pPr>
        <w:rPr>
          <w:sz w:val="20"/>
          <w:szCs w:val="20"/>
        </w:rPr>
      </w:pPr>
      <w:r>
        <w:rPr>
          <w:sz w:val="20"/>
          <w:szCs w:val="20"/>
          <w:lang w:val="en-US"/>
        </w:rPr>
        <w:t xml:space="preserve"/>
      </w:r>
      <w:r>
        <w:t xml:space="preserve"/>
      </w:r>
    </w:p>
    <w:sectPr w:rsidR="00F14DEC" w:rsidRPr="00F14DEC">
      <w:headerReference w:type="default" r:id="rId6"/>
      <w:footerReference w:type="default" r:id="rId7"/>
      <w:pgSz w:w="11906" w:h="16838"/>
      <w:pgMar w:top="1417" w:right="1417" w:bottom="1134" w:left="141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06F1EB" w14:textId="77777777" w:rsidR="00056146" w:rsidRDefault="00056146" w:rsidP="00D93193">
      <w:pPr>
        <w:spacing w:after="0" w:line="240" w:lineRule="auto"/>
      </w:pPr>
      <w:r>
        <w:separator/>
      </w:r>
    </w:p>
  </w:endnote>
  <w:endnote w:type="continuationSeparator" w:id="0">
    <w:p w14:paraId="41A4E174" w14:textId="77777777" w:rsidR="00056146" w:rsidRDefault="00056146" w:rsidP="00D931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9125D9" w14:textId="63B683E1" w:rsidR="003C343E" w:rsidRPr="003C343E" w:rsidRDefault="003C343E">
    <w:pPr>
      <w:pStyle w:val="Fuzeile"/>
      <w:rPr>
        <w:lang w:val="en-US"/>
      </w:rPr>
    </w:pPr>
    <w:r w:rsidRPr="003C343E">
      <w:rPr>
        <w:lang w:val="en-US"/>
      </w:rPr>
      <w:t xml:space="preserve">Last review: 2026-07-01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E7E916" w14:textId="77777777" w:rsidR="00056146" w:rsidRDefault="00056146" w:rsidP="00D93193">
      <w:pPr>
        <w:spacing w:after="0" w:line="240" w:lineRule="auto"/>
      </w:pPr>
      <w:r>
        <w:separator/>
      </w:r>
    </w:p>
  </w:footnote>
  <w:footnote w:type="continuationSeparator" w:id="0">
    <w:p w14:paraId="7AF8AD34" w14:textId="77777777" w:rsidR="00056146" w:rsidRDefault="00056146" w:rsidP="00D9319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2DC5CD" w14:textId="099F92BE" w:rsidR="00D93193" w:rsidRDefault="00D93193" w:rsidP="00D93193">
    <w:pPr>
      <w:pStyle w:val="Kopfzeile"/>
      <w:jc w:val="right"/>
    </w:pPr>
    <w:r>
      <w:rPr>
        <w:noProof/>
        <w:lang w:val="en-US"/>
      </w:rPr>
      <w:drawing>
        <wp:inline distT="0" distB="0" distL="0" distR="0" wp14:anchorId="6BAD8F07" wp14:editId="6C343BD0">
          <wp:extent cx="846161" cy="298110"/>
          <wp:effectExtent l="0" t="0" r="0" b="6985"/>
          <wp:docPr id="1528449155" name="Picture 1" descr="CCRI Indi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CRI Indice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85844" cy="312091"/>
                  </a:xfrm>
                  <a:prstGeom prst="rect">
                    <a:avLst/>
                  </a:prstGeom>
                  <a:noFill/>
                  <a:ln>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hideSpellingErrors/>
  <w:hideGrammaticalErrors/>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zewsDQ1MTY3MjMysjBS0lEKTi0uzszPAykwrgUAvoFyiSwAAAA="/>
  </w:docVars>
  <w:rsids>
    <w:rsidRoot w:val="00422EDB"/>
    <w:rsid w:val="00013623"/>
    <w:rsid w:val="00056146"/>
    <w:rsid w:val="000C33C2"/>
    <w:rsid w:val="001625CA"/>
    <w:rsid w:val="001C5946"/>
    <w:rsid w:val="00272E04"/>
    <w:rsid w:val="003C343E"/>
    <w:rsid w:val="0042078F"/>
    <w:rsid w:val="00422EDB"/>
    <w:rsid w:val="004E7AA9"/>
    <w:rsid w:val="004F122F"/>
    <w:rsid w:val="005307DF"/>
    <w:rsid w:val="0068514A"/>
    <w:rsid w:val="006B2F17"/>
    <w:rsid w:val="00795905"/>
    <w:rsid w:val="00821F77"/>
    <w:rsid w:val="00850647"/>
    <w:rsid w:val="00872906"/>
    <w:rsid w:val="008C64CB"/>
    <w:rsid w:val="008D51E0"/>
    <w:rsid w:val="0098649E"/>
    <w:rsid w:val="00CD2245"/>
    <w:rsid w:val="00D13235"/>
    <w:rsid w:val="00D93193"/>
    <w:rsid w:val="00DF3F0C"/>
    <w:rsid w:val="00E70086"/>
    <w:rsid w:val="00F14DEC"/>
    <w:rsid w:val="00FB5FE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F812D2"/>
  <w15:chartTrackingRefBased/>
  <w15:docId w15:val="{B2D84654-632C-48A9-A061-14E6278C23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0"/>
        <w:szCs w:val="20"/>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422ED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422ED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422EDB"/>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422EDB"/>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422EDB"/>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422EDB"/>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422EDB"/>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422EDB"/>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422EDB"/>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422EDB"/>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422EDB"/>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422EDB"/>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422EDB"/>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422EDB"/>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422EDB"/>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422EDB"/>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422EDB"/>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422EDB"/>
    <w:rPr>
      <w:rFonts w:eastAsiaTheme="majorEastAsia" w:cstheme="majorBidi"/>
      <w:color w:val="272727" w:themeColor="text1" w:themeTint="D8"/>
    </w:rPr>
  </w:style>
  <w:style w:type="paragraph" w:styleId="Titel">
    <w:name w:val="Title"/>
    <w:basedOn w:val="Standard"/>
    <w:next w:val="Standard"/>
    <w:link w:val="TitelZchn"/>
    <w:uiPriority w:val="10"/>
    <w:qFormat/>
    <w:rsid w:val="00422ED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422EDB"/>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422EDB"/>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422EDB"/>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422EDB"/>
    <w:pPr>
      <w:spacing w:before="160"/>
      <w:jc w:val="center"/>
    </w:pPr>
    <w:rPr>
      <w:i/>
      <w:iCs/>
      <w:color w:val="404040" w:themeColor="text1" w:themeTint="BF"/>
    </w:rPr>
  </w:style>
  <w:style w:type="character" w:customStyle="1" w:styleId="ZitatZchn">
    <w:name w:val="Zitat Zchn"/>
    <w:basedOn w:val="Absatz-Standardschriftart"/>
    <w:link w:val="Zitat"/>
    <w:uiPriority w:val="29"/>
    <w:rsid w:val="00422EDB"/>
    <w:rPr>
      <w:i/>
      <w:iCs/>
      <w:color w:val="404040" w:themeColor="text1" w:themeTint="BF"/>
    </w:rPr>
  </w:style>
  <w:style w:type="paragraph" w:styleId="Listenabsatz">
    <w:name w:val="List Paragraph"/>
    <w:basedOn w:val="Standard"/>
    <w:uiPriority w:val="34"/>
    <w:qFormat/>
    <w:rsid w:val="00422EDB"/>
    <w:pPr>
      <w:ind w:left="720"/>
      <w:contextualSpacing/>
    </w:pPr>
  </w:style>
  <w:style w:type="character" w:styleId="IntensiveHervorhebung">
    <w:name w:val="Intense Emphasis"/>
    <w:basedOn w:val="Absatz-Standardschriftart"/>
    <w:uiPriority w:val="21"/>
    <w:qFormat/>
    <w:rsid w:val="00422EDB"/>
    <w:rPr>
      <w:i/>
      <w:iCs/>
      <w:color w:val="0F4761" w:themeColor="accent1" w:themeShade="BF"/>
    </w:rPr>
  </w:style>
  <w:style w:type="paragraph" w:styleId="IntensivesZitat">
    <w:name w:val="Intense Quote"/>
    <w:basedOn w:val="Standard"/>
    <w:next w:val="Standard"/>
    <w:link w:val="IntensivesZitatZchn"/>
    <w:uiPriority w:val="30"/>
    <w:qFormat/>
    <w:rsid w:val="00422ED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422EDB"/>
    <w:rPr>
      <w:i/>
      <w:iCs/>
      <w:color w:val="0F4761" w:themeColor="accent1" w:themeShade="BF"/>
    </w:rPr>
  </w:style>
  <w:style w:type="character" w:styleId="IntensiverVerweis">
    <w:name w:val="Intense Reference"/>
    <w:basedOn w:val="Absatz-Standardschriftart"/>
    <w:uiPriority w:val="32"/>
    <w:qFormat/>
    <w:rsid w:val="00422EDB"/>
    <w:rPr>
      <w:b/>
      <w:bCs/>
      <w:smallCaps/>
      <w:color w:val="0F4761" w:themeColor="accent1" w:themeShade="BF"/>
      <w:spacing w:val="5"/>
    </w:rPr>
  </w:style>
  <w:style w:type="table" w:styleId="Tabellenraster">
    <w:name w:val="Table Grid"/>
    <w:basedOn w:val="NormaleTabelle"/>
    <w:uiPriority w:val="39"/>
    <w:rsid w:val="00422E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Absatz-Standardschriftart"/>
    <w:uiPriority w:val="99"/>
    <w:unhideWhenUsed/>
    <w:rsid w:val="008C64CB"/>
    <w:rPr>
      <w:color w:val="467886" w:themeColor="hyperlink"/>
      <w:u w:val="single"/>
    </w:rPr>
  </w:style>
  <w:style w:type="character" w:customStyle="1" w:styleId="NichtaufgelsteErwhnung1">
    <w:name w:val="Nicht aufgelöste Erwähnung1"/>
    <w:basedOn w:val="Absatz-Standardschriftart"/>
    <w:uiPriority w:val="99"/>
    <w:semiHidden/>
    <w:unhideWhenUsed/>
    <w:rsid w:val="008C64CB"/>
    <w:rPr>
      <w:color w:val="605E5C"/>
      <w:shd w:val="clear" w:color="auto" w:fill="E1DFDD"/>
    </w:rPr>
  </w:style>
  <w:style w:type="paragraph" w:styleId="Kopfzeile">
    <w:name w:val="header"/>
    <w:basedOn w:val="Standard"/>
    <w:link w:val="KopfzeileZchn"/>
    <w:uiPriority w:val="99"/>
    <w:unhideWhenUsed/>
    <w:rsid w:val="00D93193"/>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D93193"/>
  </w:style>
  <w:style w:type="paragraph" w:styleId="Fuzeile">
    <w:name w:val="footer"/>
    <w:basedOn w:val="Standard"/>
    <w:link w:val="FuzeileZchn"/>
    <w:uiPriority w:val="99"/>
    <w:unhideWhenUsed/>
    <w:rsid w:val="00D93193"/>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D931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6195589">
      <w:bodyDiv w:val="1"/>
      <w:marLeft w:val="0"/>
      <w:marRight w:val="0"/>
      <w:marTop w:val="0"/>
      <w:marBottom w:val="0"/>
      <w:divBdr>
        <w:top w:val="none" w:sz="0" w:space="0" w:color="auto"/>
        <w:left w:val="none" w:sz="0" w:space="0" w:color="auto"/>
        <w:bottom w:val="none" w:sz="0" w:space="0" w:color="auto"/>
        <w:right w:val="none" w:sz="0" w:space="0" w:color="auto"/>
      </w:divBdr>
    </w:div>
    <w:div w:id="815299101">
      <w:bodyDiv w:val="1"/>
      <w:marLeft w:val="0"/>
      <w:marRight w:val="0"/>
      <w:marTop w:val="0"/>
      <w:marBottom w:val="0"/>
      <w:divBdr>
        <w:top w:val="none" w:sz="0" w:space="0" w:color="auto"/>
        <w:left w:val="none" w:sz="0" w:space="0" w:color="auto"/>
        <w:bottom w:val="none" w:sz="0" w:space="0" w:color="auto"/>
        <w:right w:val="none" w:sz="0" w:space="0" w:color="auto"/>
      </w:divBdr>
    </w:div>
    <w:div w:id="997266421">
      <w:bodyDiv w:val="1"/>
      <w:marLeft w:val="0"/>
      <w:marRight w:val="0"/>
      <w:marTop w:val="0"/>
      <w:marBottom w:val="0"/>
      <w:divBdr>
        <w:top w:val="none" w:sz="0" w:space="0" w:color="auto"/>
        <w:left w:val="none" w:sz="0" w:space="0" w:color="auto"/>
        <w:bottom w:val="none" w:sz="0" w:space="0" w:color="auto"/>
        <w:right w:val="none" w:sz="0" w:space="0" w:color="auto"/>
      </w:divBdr>
    </w:div>
    <w:div w:id="1076244193">
      <w:bodyDiv w:val="1"/>
      <w:marLeft w:val="0"/>
      <w:marRight w:val="0"/>
      <w:marTop w:val="0"/>
      <w:marBottom w:val="0"/>
      <w:divBdr>
        <w:top w:val="none" w:sz="0" w:space="0" w:color="auto"/>
        <w:left w:val="none" w:sz="0" w:space="0" w:color="auto"/>
        <w:bottom w:val="none" w:sz="0" w:space="0" w:color="auto"/>
        <w:right w:val="none" w:sz="0" w:space="0" w:color="auto"/>
      </w:divBdr>
    </w:div>
    <w:div w:id="1206679772">
      <w:bodyDiv w:val="1"/>
      <w:marLeft w:val="0"/>
      <w:marRight w:val="0"/>
      <w:marTop w:val="0"/>
      <w:marBottom w:val="0"/>
      <w:divBdr>
        <w:top w:val="none" w:sz="0" w:space="0" w:color="auto"/>
        <w:left w:val="none" w:sz="0" w:space="0" w:color="auto"/>
        <w:bottom w:val="none" w:sz="0" w:space="0" w:color="auto"/>
        <w:right w:val="none" w:sz="0" w:space="0" w:color="auto"/>
      </w:divBdr>
    </w:div>
    <w:div w:id="1332566644">
      <w:bodyDiv w:val="1"/>
      <w:marLeft w:val="0"/>
      <w:marRight w:val="0"/>
      <w:marTop w:val="0"/>
      <w:marBottom w:val="0"/>
      <w:divBdr>
        <w:top w:val="none" w:sz="0" w:space="0" w:color="auto"/>
        <w:left w:val="none" w:sz="0" w:space="0" w:color="auto"/>
        <w:bottom w:val="none" w:sz="0" w:space="0" w:color="auto"/>
        <w:right w:val="none" w:sz="0" w:space="0" w:color="auto"/>
      </w:divBdr>
    </w:div>
    <w:div w:id="1634942942">
      <w:bodyDiv w:val="1"/>
      <w:marLeft w:val="0"/>
      <w:marRight w:val="0"/>
      <w:marTop w:val="0"/>
      <w:marBottom w:val="0"/>
      <w:divBdr>
        <w:top w:val="none" w:sz="0" w:space="0" w:color="auto"/>
        <w:left w:val="none" w:sz="0" w:space="0" w:color="auto"/>
        <w:bottom w:val="none" w:sz="0" w:space="0" w:color="auto"/>
        <w:right w:val="none" w:sz="0" w:space="0" w:color="auto"/>
      </w:divBdr>
    </w:div>
    <w:div w:id="1822889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 Id="rId10" Type="http://schemas.openxmlformats.org/officeDocument/2006/relationships/hyperlink" Target="https://carbon-ratings.com/dl/whitepaper-mica-methods-2024" TargetMode="External"/><Relationship Id="rId11" Type="http://schemas.openxmlformats.org/officeDocument/2006/relationships/hyperlink" Target="https://docs.mica.api.carbon-ratings.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212</Words>
  <Characters>1337</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Christian Stoll</dc:creator>
  <cp:keywords/>
  <dc:description/>
  <cp:lastModifiedBy>Uli Gallersdörfer</cp:lastModifiedBy>
  <cp:revision>11</cp:revision>
  <cp:lastPrinted>2024-11-28T13:58:00Z</cp:lastPrinted>
  <dcterms:created xsi:type="dcterms:W3CDTF">2024-11-22T14:21:00Z</dcterms:created>
  <dcterms:modified xsi:type="dcterms:W3CDTF">2025-10-30T10:33:00Z</dcterms:modified>
  <dc:identifier/>
  <dc:language/>
</cp:coreProperties>
</file>