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9347" w14:textId="1E569907" w:rsidR="00D93193" w:rsidRPr="00DF3F0C" w:rsidRDefault="00D93193" w:rsidP="00DF3F0C">
      <w:pPr>
        <w:jc w:val="center"/>
        <w:rPr>
          <w:b/>
          <w:bCs/>
          <w:lang w:val="en-US"/>
        </w:rPr>
      </w:pPr>
      <w:r w:rsidRPr="00DF3F0C">
        <w:rPr>
          <w:b/>
          <w:bCs/>
          <w:lang w:val="en-US"/>
        </w:rPr>
        <w:t>Mandatory information on principal adverse impacts on the climate and other environment-related adverse impacts of the consensus mechanism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5098"/>
      </w:tblGrid>
      <w:tr w:rsidR="00422EDB" w:rsidRPr="000C33C2" w14:paraId="442A3A39" w14:textId="77777777" w:rsidTr="000C33C2">
        <w:tc>
          <w:tcPr>
            <w:tcW w:w="704" w:type="dxa"/>
            <w:shd w:val="clear" w:color="auto" w:fill="595959" w:themeFill="text1" w:themeFillTint="A6"/>
          </w:tcPr>
          <w:p w14:paraId="57B5F487" w14:textId="3CB08EAB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shd w:val="clear" w:color="auto" w:fill="595959" w:themeFill="text1" w:themeFillTint="A6"/>
          </w:tcPr>
          <w:p w14:paraId="7A72B4D5" w14:textId="3041187C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Field</w:t>
            </w:r>
          </w:p>
        </w:tc>
        <w:tc>
          <w:tcPr>
            <w:tcW w:w="5098" w:type="dxa"/>
            <w:shd w:val="clear" w:color="auto" w:fill="595959" w:themeFill="text1" w:themeFillTint="A6"/>
          </w:tcPr>
          <w:p w14:paraId="1D904EC2" w14:textId="7E8B4362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Content</w:t>
            </w:r>
          </w:p>
        </w:tc>
      </w:tr>
      <w:tr w:rsidR="00422EDB" w:rsidRPr="000C33C2" w14:paraId="1886F5F1" w14:textId="77777777" w:rsidTr="00541804">
        <w:tc>
          <w:tcPr>
            <w:tcW w:w="9062" w:type="dxa"/>
            <w:gridSpan w:val="3"/>
          </w:tcPr>
          <w:p w14:paraId="6A8F5A45" w14:textId="49CC8C25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General information</w:t>
            </w:r>
          </w:p>
        </w:tc>
      </w:tr>
      <w:tr w:rsidR="00422EDB" w:rsidRPr="000C33C2" w14:paraId="06482DFB" w14:textId="77777777" w:rsidTr="000C33C2">
        <w:tc>
          <w:tcPr>
            <w:tcW w:w="704" w:type="dxa"/>
          </w:tcPr>
          <w:p w14:paraId="23087D11" w14:textId="2B42A75F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S.1</w:t>
            </w:r>
          </w:p>
        </w:tc>
        <w:tc>
          <w:tcPr>
            <w:tcW w:w="3260" w:type="dxa"/>
          </w:tcPr>
          <w:p w14:paraId="17B2BF48" w14:textId="789AF060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5098" w:type="dxa"/>
          </w:tcPr>
          <w:p w14:paraId="3F60F949" w14:textId="0FC5C7C2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Huddlestock GmbH</w:t>
            </w:r>
          </w:p>
        </w:tc>
      </w:tr>
      <w:tr w:rsidR="00422EDB" w:rsidRPr="000C33C2" w14:paraId="0A8ADF34" w14:textId="77777777" w:rsidTr="000C33C2">
        <w:tc>
          <w:tcPr>
            <w:tcW w:w="704" w:type="dxa"/>
          </w:tcPr>
          <w:p w14:paraId="1A189C1A" w14:textId="0F53AF3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S.2</w:t>
            </w:r>
          </w:p>
        </w:tc>
        <w:tc>
          <w:tcPr>
            <w:tcW w:w="3260" w:type="dxa"/>
          </w:tcPr>
          <w:p w14:paraId="3D29417A" w14:textId="4BB1D61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Relevant legal entity identifier</w:t>
            </w:r>
          </w:p>
        </w:tc>
        <w:tc>
          <w:tcPr>
            <w:tcW w:w="5098" w:type="dxa"/>
          </w:tcPr>
          <w:p w14:paraId="72C1A95A" w14:textId="4CB9992A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549300Y6TSD1DUCXD871</w:t>
            </w:r>
          </w:p>
        </w:tc>
      </w:tr>
      <w:tr w:rsidR="00422EDB" w:rsidRPr="000C33C2" w14:paraId="71084C63" w14:textId="77777777" w:rsidTr="000C33C2">
        <w:tc>
          <w:tcPr>
            <w:tcW w:w="704" w:type="dxa"/>
          </w:tcPr>
          <w:p w14:paraId="0CA18AF6" w14:textId="1478AF2B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S.3</w:t>
            </w:r>
          </w:p>
        </w:tc>
        <w:tc>
          <w:tcPr>
            <w:tcW w:w="3260" w:type="dxa"/>
          </w:tcPr>
          <w:p w14:paraId="2C5CB445" w14:textId="05812955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 of the cryptoasset</w:t>
            </w:r>
          </w:p>
        </w:tc>
        <w:tc>
          <w:tcPr>
            <w:tcW w:w="5098" w:type="dxa"/>
          </w:tcPr>
          <w:p w14:paraId="7B7C77AE" w14:textId="2706FDE6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Axie Infinity</w:t>
            </w:r>
          </w:p>
        </w:tc>
      </w:tr>
      <w:tr w:rsidR="00422EDB" w:rsidRPr="000C33C2" w14:paraId="6D38AC2A" w14:textId="77777777" w:rsidTr="000C33C2">
        <w:tc>
          <w:tcPr>
            <w:tcW w:w="704" w:type="dxa"/>
          </w:tcPr>
          <w:p w14:paraId="66676DAB" w14:textId="6AEE2558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S.4</w:t>
            </w:r>
          </w:p>
        </w:tc>
        <w:tc>
          <w:tcPr>
            <w:tcW w:w="3260" w:type="dxa"/>
          </w:tcPr>
          <w:p w14:paraId="28E73521" w14:textId="667A0A2E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Consensus Mechanism</w:t>
            </w:r>
          </w:p>
        </w:tc>
        <w:tc>
          <w:tcPr>
            <w:tcW w:w="5098" w:type="dxa"/>
          </w:tcPr>
          <w:p w14:paraId="48EDFE11" w14:textId="27802372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Token / No Consensus Algorithm</w:t>
            </w:r>
          </w:p>
        </w:tc>
      </w:tr>
      <w:tr w:rsidR="00422EDB" w:rsidRPr="00272E04" w14:paraId="089008B5" w14:textId="77777777" w:rsidTr="000C33C2">
        <w:tc>
          <w:tcPr>
            <w:tcW w:w="704" w:type="dxa"/>
          </w:tcPr>
          <w:p w14:paraId="3231A6DE" w14:textId="4BA4F99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S.5</w:t>
            </w:r>
          </w:p>
        </w:tc>
        <w:tc>
          <w:tcPr>
            <w:tcW w:w="3260" w:type="dxa"/>
          </w:tcPr>
          <w:p w14:paraId="35DB63CC" w14:textId="70C34A6D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Incentive Mechanisms and Applicable Fees</w:t>
            </w:r>
          </w:p>
        </w:tc>
        <w:tc>
          <w:tcPr>
            <w:tcW w:w="5098" w:type="dxa"/>
          </w:tcPr>
          <w:p w14:paraId="3C905816" w14:textId="5D2D65F7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>Tokens do not have an own consensus mechanism, but rely on the consensus mechanism of one or multiple underlying crypto-asset networks. Depending on the token design, incentive mechanisms arise from the utility, scarcity, or governance rights. </w:t>
            </w:r>
          </w:p>
        </w:tc>
      </w:tr>
      <w:tr w:rsidR="00422EDB" w:rsidRPr="000C33C2" w14:paraId="69F01E89" w14:textId="77777777" w:rsidTr="000C33C2">
        <w:tc>
          <w:tcPr>
            <w:tcW w:w="704" w:type="dxa"/>
          </w:tcPr>
          <w:p w14:paraId="18AAAA86" w14:textId="4809B96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S.6</w:t>
            </w:r>
          </w:p>
        </w:tc>
        <w:tc>
          <w:tcPr>
            <w:tcW w:w="3260" w:type="dxa"/>
          </w:tcPr>
          <w:p w14:paraId="665C94F1" w14:textId="57EB7488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Beginning of the period to which the disclosure relates</w:t>
            </w:r>
          </w:p>
        </w:tc>
        <w:tc>
          <w:tcPr>
            <w:tcW w:w="5098" w:type="dxa"/>
          </w:tcPr>
          <w:p w14:paraId="08CADF95" w14:textId="65EA3E10" w:rsidR="00422EDB" w:rsidRPr="000C33C2" w:rsidRDefault="00272E04" w:rsidP="000C33C2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2026-06-17</w:t>
            </w:r>
          </w:p>
        </w:tc>
      </w:tr>
      <w:tr w:rsidR="00422EDB" w:rsidRPr="000C33C2" w14:paraId="3D911C65" w14:textId="77777777" w:rsidTr="000C33C2">
        <w:tc>
          <w:tcPr>
            <w:tcW w:w="704" w:type="dxa"/>
          </w:tcPr>
          <w:p w14:paraId="3BD04B95" w14:textId="02C28EC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S.7</w:t>
            </w:r>
          </w:p>
        </w:tc>
        <w:tc>
          <w:tcPr>
            <w:tcW w:w="3260" w:type="dxa"/>
          </w:tcPr>
          <w:p w14:paraId="40F0567D" w14:textId="1B96B98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End of the period to which the disclosure relates</w:t>
            </w:r>
          </w:p>
        </w:tc>
        <w:tc>
          <w:tcPr>
            <w:tcW w:w="5098" w:type="dxa"/>
          </w:tcPr>
          <w:p w14:paraId="5F32DE90" w14:textId="2909751C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2026-06-30</w:t>
            </w:r>
          </w:p>
        </w:tc>
      </w:tr>
      <w:tr w:rsidR="00422EDB" w:rsidRPr="00C723B3" w14:paraId="301549B6" w14:textId="77777777" w:rsidTr="009A740A">
        <w:tc>
          <w:tcPr>
            <w:tcW w:w="9062" w:type="dxa"/>
            <w:gridSpan w:val="3"/>
          </w:tcPr>
          <w:p w14:paraId="39774816" w14:textId="07DC36A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Mandatory key indicator on energy consumption</w:t>
            </w:r>
          </w:p>
        </w:tc>
      </w:tr>
      <w:tr w:rsidR="00422EDB" w:rsidRPr="000C33C2" w14:paraId="6EAD5D7F" w14:textId="77777777" w:rsidTr="000C33C2">
        <w:tc>
          <w:tcPr>
            <w:tcW w:w="704" w:type="dxa"/>
          </w:tcPr>
          <w:p w14:paraId="0D99F9B8" w14:textId="127A9872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S.8</w:t>
            </w:r>
          </w:p>
        </w:tc>
        <w:tc>
          <w:tcPr>
            <w:tcW w:w="3260" w:type="dxa"/>
          </w:tcPr>
          <w:p w14:paraId="670DAE21" w14:textId="63394D9F" w:rsidR="00422EDB" w:rsidRPr="000C33C2" w:rsidRDefault="00422EDB" w:rsidP="000C33C2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</w:t>
            </w:r>
            <w:r w:rsidR="000C33C2" w:rsidRPr="000C33C2">
              <w:rPr>
                <w:sz w:val="20"/>
                <w:szCs w:val="20"/>
                <w:lang w:val="en-US"/>
              </w:rPr>
              <w:t xml:space="preserve"> (per year)</w:t>
            </w:r>
            <w:r w:rsidR="006B2F17">
              <w:rPr>
                <w:sz w:val="20"/>
                <w:szCs w:val="20"/>
                <w:lang w:val="en-US"/>
              </w:rPr>
              <w:t xml:space="preserve"> in kWh</w:t>
            </w:r>
          </w:p>
        </w:tc>
        <w:tc>
          <w:tcPr>
            <w:tcW w:w="5098" w:type="dxa"/>
          </w:tcPr>
          <w:p w14:paraId="12DE213A" w14:textId="240521EC" w:rsidR="00422EDB" w:rsidRPr="000C33C2" w:rsidRDefault="00272E04" w:rsidP="006B2F17">
            <w:pPr>
              <w:rPr>
                <w:sz w:val="20"/>
                <w:szCs w:val="20"/>
              </w:rPr>
            </w:pPr>
            <w:r w:rsidRPr="00272E04">
              <w:rPr>
                <w:sz w:val="20"/>
                <w:szCs w:val="20"/>
              </w:rPr>
              <w:t xml:space="preserve">25.46919</w:t>
            </w:r>
          </w:p>
        </w:tc>
      </w:tr>
      <w:tr w:rsidR="00422EDB" w:rsidRPr="000C33C2" w14:paraId="64DB318B" w14:textId="77777777" w:rsidTr="006E7391">
        <w:tc>
          <w:tcPr>
            <w:tcW w:w="9062" w:type="dxa"/>
            <w:gridSpan w:val="3"/>
          </w:tcPr>
          <w:p w14:paraId="3D6EF5DF" w14:textId="4AF8774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Sources and methodologies</w:t>
            </w:r>
          </w:p>
        </w:tc>
      </w:tr>
      <w:tr w:rsidR="00422EDB" w:rsidRPr="00272E04" w14:paraId="52934830" w14:textId="77777777" w:rsidTr="000C33C2">
        <w:tc>
          <w:tcPr>
            <w:tcW w:w="704" w:type="dxa"/>
          </w:tcPr>
          <w:p w14:paraId="6FB2D837" w14:textId="4F6322E5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S.9</w:t>
            </w:r>
          </w:p>
        </w:tc>
        <w:tc>
          <w:tcPr>
            <w:tcW w:w="3260" w:type="dxa"/>
          </w:tcPr>
          <w:p w14:paraId="3B1DB668" w14:textId="505ACA4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 sources and methodologies</w:t>
            </w:r>
          </w:p>
        </w:tc>
        <w:tc>
          <w:tcPr>
            <w:tcW w:w="5098" w:type="dxa"/>
          </w:tcPr>
          <w:p w14:paraId="7DEB9A81" w14:textId="4E6A6953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/>
            </w:r>
            <w:r>
              <w:t xml:space="preserve">Data provided by CCRI; all indicators are based on a set of assumptions and thus represent estimates; methodology description and overview of input data, external datasets and underlying assumptions available at: </w:t>
            </w:r>
            <w:hyperlink r:id="rId14">
              <w:r>
                <w:rPr>
                  <w:rStyle w:val="Hyperlink"/>
                </w:rPr>
                <w:t xml:space="preserve">carbon-ratings.com/dl/whitepaper-mica-methods-2024</w:t>
              </w:r>
            </w:hyperlink>
            <w:r>
              <w:t xml:space="preserve"> and </w:t>
            </w:r>
            <w:hyperlink r:id="rId15">
              <w:r>
                <w:rPr>
                  <w:rStyle w:val="Hyperlink"/>
                </w:rPr>
                <w:t xml:space="preserve">docs.mica.api.carbon-ratings.com</w:t>
              </w:r>
            </w:hyperlink>
            <w:r>
              <w:t xml:space="preserve">. We do not account for any offsetting of energy consumption or other market-based mechanism as of today.</w:t>
            </w:r>
            <w:r>
              <w:t xml:space="preserve"/>
            </w:r>
          </w:p>
        </w:tc>
      </w:tr>
    </w:tbl>
    <w:p w14:paraId="3F31C714" w14:textId="77777777" w:rsidR="00D13235" w:rsidRDefault="00D13235">
      <w:pPr>
        <w:rPr>
          <w:sz w:val="20"/>
          <w:szCs w:val="20"/>
          <w:lang w:val="en-US"/>
        </w:rPr>
      </w:pPr>
    </w:p>
    <w:p w14:paraId="29EE7320" w14:textId="77777777" w:rsidR="00056F32" w:rsidRPr="00056F32" w:rsidRDefault="00056F32" w:rsidP="00056F32">
      <w:pPr>
        <w:rPr>
          <w:sz w:val="20"/>
          <w:szCs w:val="20"/>
        </w:rPr>
      </w:pPr>
      <w:r w:rsidRPr="00056F32">
        <w:rPr>
          <w:sz w:val="20"/>
          <w:szCs w:val="20"/>
          <w:lang w:val="en-US"/>
        </w:rPr>
        <w:t xml:space="preserve"/>
      </w:r>
      <w:r>
        <w:t xml:space="preserve"/>
      </w:r>
    </w:p>
    <w:p w14:paraId="4D2BCD98" w14:textId="77777777" w:rsidR="00056F32" w:rsidRPr="000C33C2" w:rsidRDefault="00056F32">
      <w:pPr>
        <w:rPr>
          <w:sz w:val="20"/>
          <w:szCs w:val="20"/>
          <w:lang w:val="en-US"/>
        </w:rPr>
      </w:pPr>
    </w:p>
    <w:sectPr w:rsidR="00056F32" w:rsidRPr="000C3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FEFBF" w14:textId="77777777" w:rsidR="00863B5C" w:rsidRDefault="00863B5C" w:rsidP="00D93193">
      <w:pPr>
        <w:spacing w:after="0" w:line="240" w:lineRule="auto"/>
      </w:pPr>
      <w:r>
        <w:separator/>
      </w:r>
    </w:p>
  </w:endnote>
  <w:endnote w:type="continuationSeparator" w:id="0">
    <w:p w14:paraId="7F93A9D1" w14:textId="77777777" w:rsidR="00863B5C" w:rsidRDefault="00863B5C" w:rsidP="00D9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545FE" w14:textId="77777777" w:rsidR="000443FE" w:rsidRDefault="000443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F6073" w14:textId="02B9BA9B" w:rsidR="000443FE" w:rsidRPr="000443FE" w:rsidRDefault="000443FE">
    <w:pPr>
      <w:pStyle w:val="Fuzeile"/>
      <w:rPr>
        <w:lang w:val="en-US"/>
      </w:rPr>
    </w:pPr>
    <w:r>
      <w:rPr>
        <w:lang w:val="en-US"/>
      </w:rPr>
      <w:t xml:space="preserve">Last review: 2026-07-01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B892" w14:textId="77777777" w:rsidR="000443FE" w:rsidRDefault="000443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3FBB" w14:textId="77777777" w:rsidR="00863B5C" w:rsidRDefault="00863B5C" w:rsidP="00D93193">
      <w:pPr>
        <w:spacing w:after="0" w:line="240" w:lineRule="auto"/>
      </w:pPr>
      <w:r>
        <w:separator/>
      </w:r>
    </w:p>
  </w:footnote>
  <w:footnote w:type="continuationSeparator" w:id="0">
    <w:p w14:paraId="6C1BC70C" w14:textId="77777777" w:rsidR="00863B5C" w:rsidRDefault="00863B5C" w:rsidP="00D9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6C92" w14:textId="77777777" w:rsidR="000443FE" w:rsidRDefault="000443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C5CD" w14:textId="099F92BE" w:rsidR="00D93193" w:rsidRDefault="00D93193" w:rsidP="00D93193">
    <w:pPr>
      <w:pStyle w:val="Kopfzeile"/>
      <w:jc w:val="right"/>
    </w:pPr>
    <w:r>
      <w:rPr>
        <w:noProof/>
        <w:lang w:val="en-US"/>
      </w:rPr>
      <w:drawing>
        <wp:inline distT="0" distB="0" distL="0" distR="0" wp14:anchorId="6BAD8F07" wp14:editId="6C343BD0">
          <wp:extent cx="846161" cy="298110"/>
          <wp:effectExtent l="0" t="0" r="0" b="6985"/>
          <wp:docPr id="1528449155" name="Picture 1" descr="CCRI Ind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RI Indi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44" cy="31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FF8D" w14:textId="77777777" w:rsidR="000443FE" w:rsidRDefault="000443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ewsDQ1MTY3MjMysjBS0lEKTi0uzszPAykwrgUAvoFyiSwAAAA="/>
  </w:docVars>
  <w:rsids>
    <w:rsidRoot w:val="00422EDB"/>
    <w:rsid w:val="00013623"/>
    <w:rsid w:val="000443FE"/>
    <w:rsid w:val="00056F32"/>
    <w:rsid w:val="000C33C2"/>
    <w:rsid w:val="001337EE"/>
    <w:rsid w:val="001625CA"/>
    <w:rsid w:val="001C5946"/>
    <w:rsid w:val="00272E04"/>
    <w:rsid w:val="0042078F"/>
    <w:rsid w:val="00422EDB"/>
    <w:rsid w:val="004278CA"/>
    <w:rsid w:val="004511A1"/>
    <w:rsid w:val="004D2A32"/>
    <w:rsid w:val="004F122F"/>
    <w:rsid w:val="005307DF"/>
    <w:rsid w:val="006B2F17"/>
    <w:rsid w:val="00795905"/>
    <w:rsid w:val="00821F77"/>
    <w:rsid w:val="00850647"/>
    <w:rsid w:val="00863B5C"/>
    <w:rsid w:val="00872906"/>
    <w:rsid w:val="008C64CB"/>
    <w:rsid w:val="0098649E"/>
    <w:rsid w:val="00B57E9C"/>
    <w:rsid w:val="00C723B3"/>
    <w:rsid w:val="00CD2245"/>
    <w:rsid w:val="00D13235"/>
    <w:rsid w:val="00D93193"/>
    <w:rsid w:val="00DF3F0C"/>
    <w:rsid w:val="00E70086"/>
    <w:rsid w:val="00ED711D"/>
    <w:rsid w:val="00FB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12D2"/>
  <w15:chartTrackingRefBased/>
  <w15:docId w15:val="{B2D84654-632C-48A9-A061-14E6278C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0"/>
        <w:szCs w:val="20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22E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22E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22E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22E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22E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22E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22E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22E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22E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22E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22E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22E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22ED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22ED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22ED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22ED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22ED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22ED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22E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22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22E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22E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22E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22ED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22ED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22ED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22E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22ED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22ED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42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8C64CB"/>
    <w:rPr>
      <w:color w:val="467886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C64CB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3193"/>
  </w:style>
  <w:style w:type="paragraph" w:styleId="Fuzeile">
    <w:name w:val="footer"/>
    <w:basedOn w:val="Standard"/>
    <w:link w:val="Fu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3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carbon-ratings.com/dl/whitepaper-mica-methods-2024" TargetMode="External"/><Relationship Id="rId15" Type="http://schemas.openxmlformats.org/officeDocument/2006/relationships/hyperlink" Target="https://docs.mica.api.carbon-ratings.com" TargetMode="Externa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Stoll</dc:creator>
  <cp:keywords/>
  <dc:description/>
  <cp:lastModifiedBy>Uli Gallersdörfer</cp:lastModifiedBy>
  <cp:revision>5</cp:revision>
  <cp:lastPrinted>2024-11-28T13:58:00Z</cp:lastPrinted>
  <dcterms:created xsi:type="dcterms:W3CDTF">2024-12-06T19:56:00Z</dcterms:created>
  <dcterms:modified xsi:type="dcterms:W3CDTF">2025-10-30T10:33:00Z</dcterms:modified>
  <dc:identifier/>
  <dc:language/>
</cp:coreProperties>
</file>